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REGULAMIN REKRUTACJI I UCZESTNICTWA W PROJEKCIE</w:t>
      </w:r>
    </w:p>
    <w:p>
      <w:pPr>
        <w:pStyle w:val="Normal"/>
        <w:jc w:val="center"/>
        <w:rPr/>
      </w:pPr>
      <w:r>
        <w:rPr>
          <w:rStyle w:val="Mocnewyrnione"/>
          <w:rFonts w:ascii="Arial" w:hAnsi="Arial"/>
          <w:sz w:val="24"/>
          <w:szCs w:val="24"/>
        </w:rPr>
        <w:t>„</w:t>
      </w:r>
      <w:r>
        <w:rPr>
          <w:rStyle w:val="Mocnewyrnione"/>
          <w:rFonts w:ascii="Arial" w:hAnsi="Arial"/>
          <w:sz w:val="24"/>
          <w:szCs w:val="24"/>
        </w:rPr>
        <w:t>Holistyczne wsparcie mieszkańców Gminy Pawłów w środowisku lokalnym”</w:t>
      </w:r>
      <w:r>
        <w:rPr>
          <w:rFonts w:ascii="Arial" w:hAnsi="Arial"/>
          <w:sz w:val="24"/>
          <w:szCs w:val="24"/>
        </w:rPr>
        <w:br/>
        <w:t xml:space="preserve">projekt </w:t>
      </w:r>
      <w:r>
        <w:rPr>
          <w:rFonts w:ascii="Arial" w:hAnsi="Arial"/>
          <w:b/>
          <w:bCs/>
          <w:sz w:val="24"/>
          <w:szCs w:val="24"/>
        </w:rPr>
        <w:t xml:space="preserve">nr:  </w:t>
      </w:r>
      <w:r>
        <w:rPr>
          <w:rStyle w:val="Mocnewyrnione"/>
          <w:rFonts w:ascii="Arial" w:hAnsi="Arial"/>
          <w:b/>
          <w:bCs/>
          <w:sz w:val="24"/>
          <w:szCs w:val="24"/>
        </w:rPr>
        <w:t>F</w:t>
      </w:r>
      <w:r>
        <w:rPr>
          <w:rStyle w:val="Mocnewyrnione"/>
          <w:rFonts w:ascii="Arial" w:hAnsi="Arial"/>
          <w:sz w:val="24"/>
          <w:szCs w:val="24"/>
        </w:rPr>
        <w:t>ESW.09.04-IZ.00-0007/26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1. Postanowienia ogólne</w:t>
      </w:r>
    </w:p>
    <w:p>
      <w:pPr>
        <w:pStyle w:val="Normal"/>
        <w:numPr>
          <w:ilvl w:val="0"/>
          <w:numId w:val="7"/>
        </w:numPr>
        <w:rPr/>
      </w:pPr>
      <w:r>
        <w:rPr>
          <w:rFonts w:ascii="Arial" w:hAnsi="Arial"/>
          <w:sz w:val="24"/>
          <w:szCs w:val="24"/>
        </w:rPr>
        <w:t xml:space="preserve">Niniejszy Regulamin określa zasady rekrutacji, kwalifikowania oraz uczestnictwa w projekcie pn. </w:t>
      </w:r>
      <w:r>
        <w:rPr>
          <w:rStyle w:val="Mocnewyrnione"/>
          <w:rFonts w:ascii="Arial" w:hAnsi="Arial"/>
          <w:sz w:val="24"/>
          <w:szCs w:val="24"/>
        </w:rPr>
        <w:t>„Holistyczne wsparcie mieszkańców Gminy Pawłów w środowisku lokalnym”</w:t>
      </w:r>
      <w:r>
        <w:rPr>
          <w:rFonts w:ascii="Arial" w:hAnsi="Arial"/>
          <w:sz w:val="24"/>
          <w:szCs w:val="24"/>
        </w:rPr>
        <w:t xml:space="preserve">, nr FESW.09.04-IZ.00-0007/26, zwanym dalej „Projektem”. </w:t>
      </w:r>
    </w:p>
    <w:p>
      <w:pPr>
        <w:pStyle w:val="Normal"/>
        <w:numPr>
          <w:ilvl w:val="0"/>
          <w:numId w:val="7"/>
        </w:numPr>
        <w:rPr/>
      </w:pPr>
      <w:r>
        <w:rPr>
          <w:rFonts w:ascii="Arial" w:hAnsi="Arial"/>
          <w:sz w:val="24"/>
          <w:szCs w:val="24"/>
        </w:rPr>
        <w:t xml:space="preserve">Projekt jest realizowany przez </w:t>
      </w:r>
      <w:r>
        <w:rPr>
          <w:rStyle w:val="Mocnewyrnione"/>
          <w:rFonts w:ascii="Arial" w:hAnsi="Arial"/>
          <w:sz w:val="24"/>
          <w:szCs w:val="24"/>
        </w:rPr>
        <w:t>Gminę Pawłów/Gminny Ośrodek Pomocy Społecznej w Pawłowie</w:t>
      </w:r>
      <w:r>
        <w:rPr>
          <w:rFonts w:ascii="Arial" w:hAnsi="Arial"/>
          <w:sz w:val="24"/>
          <w:szCs w:val="24"/>
        </w:rPr>
        <w:t xml:space="preserve"> w ramach programu Fundusze Europejskie dla Świętokrzyskiego 2021–2027, współfinansowanego ze środków Europejskiego Funduszu Społecznego Plus. </w:t>
      </w:r>
    </w:p>
    <w:p>
      <w:pPr>
        <w:pStyle w:val="Normal"/>
        <w:numPr>
          <w:ilvl w:val="0"/>
          <w:numId w:val="7"/>
        </w:numPr>
        <w:rPr/>
      </w:pPr>
      <w:r>
        <w:rPr>
          <w:rFonts w:ascii="Arial" w:hAnsi="Arial"/>
          <w:sz w:val="24"/>
          <w:szCs w:val="24"/>
        </w:rPr>
        <w:t xml:space="preserve">Okres realizacji Projektu: </w:t>
      </w:r>
      <w:r>
        <w:rPr>
          <w:rStyle w:val="Mocnewyrnione"/>
          <w:rFonts w:ascii="Arial" w:hAnsi="Arial"/>
          <w:sz w:val="24"/>
          <w:szCs w:val="24"/>
        </w:rPr>
        <w:t>od 1 września 2026 r. do 30 czerwca 2029 r.</w:t>
      </w:r>
      <w:r>
        <w:rPr>
          <w:rFonts w:ascii="Arial" w:hAnsi="Arial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Głównym celem Projektu jest zwiększenie dostępności usług społecznych i zdrowotnych oraz wsparcie procesu deinstytucjonalizacji poprzez rozwój usług świadczonych na rzecz mieszkańców Gminy Pawłów w środowisku lokalnym. </w:t>
      </w:r>
    </w:p>
    <w:p>
      <w:pPr>
        <w:pStyle w:val="Normal"/>
        <w:numPr>
          <w:ilvl w:val="0"/>
          <w:numId w:val="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Projekt skierowany jest do osób spełniających kryteria grupy docelowej określone we wniosku o dofinansowanie Projektu. </w:t>
      </w:r>
    </w:p>
    <w:p>
      <w:pPr>
        <w:pStyle w:val="Normal"/>
        <w:numPr>
          <w:ilvl w:val="0"/>
          <w:numId w:val="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Udział w Projekcie jest dobrowolny. </w:t>
      </w:r>
    </w:p>
    <w:p>
      <w:pPr>
        <w:pStyle w:val="Normal"/>
        <w:numPr>
          <w:ilvl w:val="0"/>
          <w:numId w:val="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Rekrutacja prowadzona jest z poszanowaniem zasady równości szans kobiet i mężczyzn, zasady niedyskryminacji, w tym dostępności dla osób z niepełnosprawnościami, oraz pozostałych zasad horyzontalnych obowiązujących w ramach programu. </w:t>
      </w:r>
    </w:p>
    <w:p>
      <w:pPr>
        <w:pStyle w:val="Normal"/>
        <w:numPr>
          <w:ilvl w:val="0"/>
          <w:numId w:val="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Biuro Projektu mieści się w siedzibie Gminnego Ośrodka Pomocy Społecznej w Pawłowie, Pawłów 56, 27-225 Pawłów.</w:t>
      </w:r>
    </w:p>
    <w:p>
      <w:pPr>
        <w:pStyle w:val="Normal"/>
        <w:numPr>
          <w:ilvl w:val="0"/>
          <w:numId w:val="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Regulamin jest dostępny w Biurze Projektu oraz w formach i miejscach komunikacji przyjętych przez Realizatora Projektu.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2. Definicje</w:t>
      </w:r>
    </w:p>
    <w:p>
      <w:pPr>
        <w:pStyle w:val="Normal"/>
        <w:numPr>
          <w:ilvl w:val="0"/>
          <w:numId w:val="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Ilekroć w Regulaminie jest mowa o: </w:t>
      </w:r>
    </w:p>
    <w:p>
      <w:pPr>
        <w:pStyle w:val="Normal"/>
        <w:numPr>
          <w:ilvl w:val="1"/>
          <w:numId w:val="8"/>
        </w:numPr>
        <w:rPr/>
      </w:pPr>
      <w:r>
        <w:rPr>
          <w:rStyle w:val="Mocnewyrnione"/>
          <w:rFonts w:ascii="Arial" w:hAnsi="Arial"/>
          <w:sz w:val="24"/>
          <w:szCs w:val="24"/>
        </w:rPr>
        <w:t>Projekcie</w:t>
      </w:r>
      <w:r>
        <w:rPr>
          <w:rFonts w:ascii="Arial" w:hAnsi="Arial"/>
          <w:sz w:val="24"/>
          <w:szCs w:val="24"/>
        </w:rPr>
        <w:t xml:space="preserve"> – należy przez to rozumieć projekt „Holistyczne wsparcie mieszkańców Gminy Pawłów w środowisku lokalnym”, nr FESW.09.04-IZ.00-0007/26; </w:t>
      </w:r>
    </w:p>
    <w:p>
      <w:pPr>
        <w:pStyle w:val="Normal"/>
        <w:numPr>
          <w:ilvl w:val="1"/>
          <w:numId w:val="8"/>
        </w:numPr>
        <w:rPr/>
      </w:pPr>
      <w:r>
        <w:rPr>
          <w:rStyle w:val="Mocnewyrnione"/>
          <w:rFonts w:ascii="Arial" w:hAnsi="Arial"/>
          <w:sz w:val="24"/>
          <w:szCs w:val="24"/>
        </w:rPr>
        <w:t>Realizatorze Projektu</w:t>
      </w:r>
      <w:r>
        <w:rPr>
          <w:rFonts w:ascii="Arial" w:hAnsi="Arial"/>
          <w:sz w:val="24"/>
          <w:szCs w:val="24"/>
        </w:rPr>
        <w:t xml:space="preserve"> – należy przez to rozumieć Gminę Pawłów/Gminny Ośrodek Pomocy Społecznej w Pawłowie; </w:t>
      </w:r>
    </w:p>
    <w:p>
      <w:pPr>
        <w:pStyle w:val="Normal"/>
        <w:numPr>
          <w:ilvl w:val="1"/>
          <w:numId w:val="8"/>
        </w:numPr>
        <w:rPr/>
      </w:pPr>
      <w:r>
        <w:rPr>
          <w:rStyle w:val="Mocnewyrnione"/>
          <w:rFonts w:ascii="Arial" w:hAnsi="Arial"/>
          <w:sz w:val="24"/>
          <w:szCs w:val="24"/>
        </w:rPr>
        <w:t>GOPS</w:t>
      </w:r>
      <w:r>
        <w:rPr>
          <w:rFonts w:ascii="Arial" w:hAnsi="Arial"/>
          <w:sz w:val="24"/>
          <w:szCs w:val="24"/>
        </w:rPr>
        <w:t xml:space="preserve"> – należy przez to rozumieć Gminny Ośrodek Pomocy Społecznej w Pawłowie; </w:t>
      </w:r>
    </w:p>
    <w:p>
      <w:pPr>
        <w:pStyle w:val="Normal"/>
        <w:numPr>
          <w:ilvl w:val="1"/>
          <w:numId w:val="8"/>
        </w:numPr>
        <w:rPr/>
      </w:pPr>
      <w:r>
        <w:rPr>
          <w:rStyle w:val="Mocnewyrnione"/>
          <w:rFonts w:ascii="Arial" w:hAnsi="Arial"/>
          <w:sz w:val="24"/>
          <w:szCs w:val="24"/>
        </w:rPr>
        <w:t>Kandydacie/Kandydatce</w:t>
      </w:r>
      <w:r>
        <w:rPr>
          <w:rFonts w:ascii="Arial" w:hAnsi="Arial"/>
          <w:sz w:val="24"/>
          <w:szCs w:val="24"/>
        </w:rPr>
        <w:t xml:space="preserve"> – należy przez to rozumieć osobę ubiegającą się o zakwalifikowanie do udziału w Projekcie; </w:t>
      </w:r>
    </w:p>
    <w:p>
      <w:pPr>
        <w:pStyle w:val="Normal"/>
        <w:numPr>
          <w:ilvl w:val="1"/>
          <w:numId w:val="8"/>
        </w:numPr>
        <w:rPr/>
      </w:pPr>
      <w:r>
        <w:rPr>
          <w:rStyle w:val="Mocnewyrnione"/>
          <w:rFonts w:ascii="Arial" w:hAnsi="Arial"/>
          <w:sz w:val="24"/>
          <w:szCs w:val="24"/>
        </w:rPr>
        <w:t>Uczestniku/Uczestniczce Projektu</w:t>
      </w:r>
      <w:r>
        <w:rPr>
          <w:rFonts w:ascii="Arial" w:hAnsi="Arial"/>
          <w:sz w:val="24"/>
          <w:szCs w:val="24"/>
        </w:rPr>
        <w:t xml:space="preserve"> – należy przez to rozumieć osobę zakwalifikowaną do udziału w Projekcie, która rozpoczęła udział we wsparciu; </w:t>
      </w:r>
    </w:p>
    <w:p>
      <w:pPr>
        <w:pStyle w:val="Normal"/>
        <w:numPr>
          <w:ilvl w:val="1"/>
          <w:numId w:val="8"/>
        </w:numPr>
        <w:rPr/>
      </w:pPr>
      <w:r>
        <w:rPr>
          <w:rStyle w:val="Mocnewyrnione"/>
          <w:rFonts w:ascii="Arial" w:hAnsi="Arial"/>
          <w:sz w:val="24"/>
          <w:szCs w:val="24"/>
        </w:rPr>
        <w:t>osobie potrzebującej wsparcia w codziennym funkcjonowaniu</w:t>
      </w:r>
      <w:r>
        <w:rPr>
          <w:rFonts w:ascii="Arial" w:hAnsi="Arial"/>
          <w:sz w:val="24"/>
          <w:szCs w:val="24"/>
        </w:rPr>
        <w:t xml:space="preserve"> – należy przez to rozumieć osobę, która ze względu na wiek, stan zdrowia lub niepełnosprawność wymaga opieki lub wsparcia w związku z niemożnością samodzielnego wykonywania co najmniej jednej z podstawowych czynności dnia codziennego; </w:t>
      </w:r>
    </w:p>
    <w:p>
      <w:pPr>
        <w:pStyle w:val="Normal"/>
        <w:numPr>
          <w:ilvl w:val="1"/>
          <w:numId w:val="8"/>
        </w:numPr>
        <w:rPr/>
      </w:pPr>
      <w:r>
        <w:rPr>
          <w:rStyle w:val="Mocnewyrnione"/>
          <w:rFonts w:ascii="Arial" w:hAnsi="Arial"/>
          <w:sz w:val="24"/>
          <w:szCs w:val="24"/>
        </w:rPr>
        <w:t>opiekunie faktycznym/nieformalnym</w:t>
      </w:r>
      <w:r>
        <w:rPr>
          <w:rFonts w:ascii="Arial" w:hAnsi="Arial"/>
          <w:sz w:val="24"/>
          <w:szCs w:val="24"/>
        </w:rPr>
        <w:t xml:space="preserve"> – należy przez to rozumieć osobę sprawującą opiekę nad osobą potrzebującą wsparcia w codziennym funkcjonowaniu, zgodnie z zasadami obowiązującymi w Projekcie; </w:t>
      </w:r>
    </w:p>
    <w:p>
      <w:pPr>
        <w:pStyle w:val="Normal"/>
        <w:numPr>
          <w:ilvl w:val="1"/>
          <w:numId w:val="8"/>
        </w:numPr>
        <w:rPr/>
      </w:pPr>
      <w:r>
        <w:rPr>
          <w:rStyle w:val="Mocnewyrnione"/>
          <w:rFonts w:ascii="Arial" w:hAnsi="Arial"/>
          <w:sz w:val="24"/>
          <w:szCs w:val="24"/>
        </w:rPr>
        <w:t>DDP</w:t>
      </w:r>
      <w:r>
        <w:rPr>
          <w:rFonts w:ascii="Arial" w:hAnsi="Arial"/>
          <w:sz w:val="24"/>
          <w:szCs w:val="24"/>
        </w:rPr>
        <w:t xml:space="preserve"> – należy przez to rozumieć Dzienny Dom Pomocy utworzony w ramach Projektu; </w:t>
      </w:r>
    </w:p>
    <w:p>
      <w:pPr>
        <w:pStyle w:val="Normal"/>
        <w:numPr>
          <w:ilvl w:val="1"/>
          <w:numId w:val="8"/>
        </w:numPr>
        <w:rPr/>
      </w:pPr>
      <w:r>
        <w:rPr>
          <w:rStyle w:val="Mocnewyrnione"/>
          <w:rFonts w:ascii="Arial" w:hAnsi="Arial"/>
          <w:sz w:val="24"/>
          <w:szCs w:val="24"/>
        </w:rPr>
        <w:t>IPW</w:t>
      </w:r>
      <w:r>
        <w:rPr>
          <w:rFonts w:ascii="Arial" w:hAnsi="Arial"/>
          <w:sz w:val="24"/>
          <w:szCs w:val="24"/>
        </w:rPr>
        <w:t xml:space="preserve"> – należy przez to rozumieć Indywidualny Plan Wsparcia opracowywany dla uczestnika zgodnie z założeniami Projektu; </w:t>
      </w:r>
    </w:p>
    <w:p>
      <w:pPr>
        <w:pStyle w:val="Normal"/>
        <w:numPr>
          <w:ilvl w:val="1"/>
          <w:numId w:val="8"/>
        </w:numPr>
        <w:rPr/>
      </w:pPr>
      <w:r>
        <w:rPr>
          <w:rStyle w:val="Mocnewyrnione"/>
          <w:rFonts w:ascii="Arial" w:hAnsi="Arial"/>
          <w:sz w:val="24"/>
          <w:szCs w:val="24"/>
        </w:rPr>
        <w:t>Komisji Rekrutacyjnej</w:t>
      </w:r>
      <w:r>
        <w:rPr>
          <w:rFonts w:ascii="Arial" w:hAnsi="Arial"/>
          <w:sz w:val="24"/>
          <w:szCs w:val="24"/>
        </w:rPr>
        <w:t xml:space="preserve"> – należy przez to rozumieć zespół powołany do przeprowadzenia oceny dokumentów rekrutacyjnych oraz kwalifikacji osób do udziału w Projekcie, w skład którego wchodzą Kierownik GOPS w Pawłowie oraz Koordynator Projektu; </w:t>
      </w:r>
    </w:p>
    <w:p>
      <w:pPr>
        <w:pStyle w:val="Normal"/>
        <w:numPr>
          <w:ilvl w:val="1"/>
          <w:numId w:val="8"/>
        </w:numPr>
        <w:rPr/>
      </w:pPr>
      <w:r>
        <w:rPr>
          <w:rStyle w:val="Mocnewyrnione"/>
          <w:rFonts w:ascii="Arial" w:hAnsi="Arial"/>
          <w:sz w:val="24"/>
          <w:szCs w:val="24"/>
        </w:rPr>
        <w:t>Zespole Diagnostycznym</w:t>
      </w:r>
      <w:r>
        <w:rPr>
          <w:rFonts w:ascii="Arial" w:hAnsi="Arial"/>
          <w:sz w:val="24"/>
          <w:szCs w:val="24"/>
        </w:rPr>
        <w:t xml:space="preserve"> – należy przez to rozumieć co najmniej 3-osobowy zespół dokonujący oceny poziomu samodzielności kandydata przy zastosowaniu skal Katz i Lawton. W skład Zespołu Diagnostycznego wchodzą pracownicy socjalni GOPS w Pawłowie wskazani przez Kierownika GOPS; </w:t>
      </w:r>
    </w:p>
    <w:p>
      <w:pPr>
        <w:pStyle w:val="Normal"/>
        <w:numPr>
          <w:ilvl w:val="1"/>
          <w:numId w:val="8"/>
        </w:numPr>
        <w:rPr/>
      </w:pPr>
      <w:r>
        <w:rPr>
          <w:rStyle w:val="Mocnewyrnione"/>
          <w:rFonts w:ascii="Arial" w:hAnsi="Arial"/>
          <w:sz w:val="24"/>
          <w:szCs w:val="24"/>
        </w:rPr>
        <w:t>skali Katz</w:t>
      </w:r>
      <w:r>
        <w:rPr>
          <w:rFonts w:ascii="Arial" w:hAnsi="Arial"/>
          <w:sz w:val="24"/>
          <w:szCs w:val="24"/>
        </w:rPr>
        <w:t xml:space="preserve"> – należy przez to rozumieć narzędzie wykorzystywane w Projekcie do oceny samodzielności w zakresie podstawowych czynności życia codziennego; </w:t>
      </w:r>
    </w:p>
    <w:p>
      <w:pPr>
        <w:pStyle w:val="Normal"/>
        <w:numPr>
          <w:ilvl w:val="1"/>
          <w:numId w:val="8"/>
        </w:numPr>
        <w:rPr/>
      </w:pPr>
      <w:r>
        <w:rPr>
          <w:rStyle w:val="Mocnewyrnione"/>
          <w:rFonts w:ascii="Arial" w:hAnsi="Arial"/>
          <w:sz w:val="24"/>
          <w:szCs w:val="24"/>
        </w:rPr>
        <w:t>skali Lawton</w:t>
      </w:r>
      <w:r>
        <w:rPr>
          <w:rFonts w:ascii="Arial" w:hAnsi="Arial"/>
          <w:sz w:val="24"/>
          <w:szCs w:val="24"/>
        </w:rPr>
        <w:t xml:space="preserve"> – należy przez to rozumieć narzędzie wykorzystywane do oceny samodzielności w zakresie złożonych czynności życia codziennego; </w:t>
      </w:r>
    </w:p>
    <w:p>
      <w:pPr>
        <w:pStyle w:val="Normal"/>
        <w:numPr>
          <w:ilvl w:val="1"/>
          <w:numId w:val="8"/>
        </w:numPr>
        <w:rPr/>
      </w:pPr>
      <w:r>
        <w:rPr>
          <w:rStyle w:val="Mocnewyrnione"/>
          <w:rFonts w:ascii="Arial" w:hAnsi="Arial"/>
          <w:sz w:val="24"/>
          <w:szCs w:val="24"/>
        </w:rPr>
        <w:t>skali Barthel</w:t>
      </w:r>
      <w:r>
        <w:rPr>
          <w:rFonts w:ascii="Arial" w:hAnsi="Arial"/>
          <w:sz w:val="24"/>
          <w:szCs w:val="24"/>
        </w:rPr>
        <w:t xml:space="preserve"> – należy przez to rozumieć narzędzie oceny sprawności i samodzielności funkcjonalnej, wypełniane w ramach Projektu przez PZOZ w Pawłowie.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3. Grupa docelowa Projektu</w:t>
      </w:r>
    </w:p>
    <w:p>
      <w:pPr>
        <w:pStyle w:val="Normal"/>
        <w:numPr>
          <w:ilvl w:val="0"/>
          <w:numId w:val="9"/>
        </w:numPr>
        <w:rPr/>
      </w:pPr>
      <w:r>
        <w:rPr>
          <w:rFonts w:ascii="Arial" w:hAnsi="Arial"/>
          <w:sz w:val="24"/>
          <w:szCs w:val="24"/>
        </w:rPr>
        <w:t xml:space="preserve">Projekt zakłada objęcie wsparciem łącznie </w:t>
      </w:r>
      <w:r>
        <w:rPr>
          <w:rStyle w:val="Mocnewyrnione"/>
          <w:rFonts w:ascii="Arial" w:hAnsi="Arial"/>
          <w:sz w:val="24"/>
          <w:szCs w:val="24"/>
        </w:rPr>
        <w:t>154 osób</w:t>
      </w:r>
      <w:r>
        <w:rPr>
          <w:rFonts w:ascii="Arial" w:hAnsi="Arial"/>
          <w:sz w:val="24"/>
          <w:szCs w:val="24"/>
        </w:rPr>
        <w:t xml:space="preserve">, w tym: </w:t>
      </w:r>
    </w:p>
    <w:p>
      <w:pPr>
        <w:pStyle w:val="Normal"/>
        <w:numPr>
          <w:ilvl w:val="1"/>
          <w:numId w:val="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75 osób potrzebujących wsparcia w codziennym funkcjonowaniu; </w:t>
      </w:r>
    </w:p>
    <w:p>
      <w:pPr>
        <w:pStyle w:val="Normal"/>
        <w:numPr>
          <w:ilvl w:val="1"/>
          <w:numId w:val="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75 opiekunów faktycznych/nieformalnych; </w:t>
      </w:r>
    </w:p>
    <w:p>
      <w:pPr>
        <w:pStyle w:val="Normal"/>
        <w:numPr>
          <w:ilvl w:val="1"/>
          <w:numId w:val="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4 osób należących do kadry merytorycznej. </w:t>
      </w:r>
    </w:p>
    <w:p>
      <w:pPr>
        <w:pStyle w:val="Normal"/>
        <w:numPr>
          <w:ilvl w:val="0"/>
          <w:numId w:val="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Wśród uczestników Projektu zakłada się udział 110 kobiet i 44 mężczyzn. </w:t>
      </w:r>
    </w:p>
    <w:p>
      <w:pPr>
        <w:pStyle w:val="Normal"/>
        <w:numPr>
          <w:ilvl w:val="0"/>
          <w:numId w:val="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Osoby potrzebujące wsparcia w codziennym funkcjonowaniu muszą zamieszkiwać na terenie Gminy Pawłów oraz spełniać kryteria właściwe dla danej formy wsparcia. </w:t>
      </w:r>
    </w:p>
    <w:p>
      <w:pPr>
        <w:pStyle w:val="Normal"/>
        <w:numPr>
          <w:ilvl w:val="0"/>
          <w:numId w:val="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 procesie rekrutacji uwzględnia się preferencje dla grup znajdujących się w szczególnie trudnej sytuacji, zgodnie z kryteriami określonymi we wniosku o dofinansowanie, w szczególności osób: </w:t>
      </w:r>
    </w:p>
    <w:p>
      <w:pPr>
        <w:pStyle w:val="Normal"/>
        <w:numPr>
          <w:ilvl w:val="1"/>
          <w:numId w:val="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samotnie zamieszkujących – w zakresie, w którym kryterium to dotyczy danej formy wsparcia; </w:t>
      </w:r>
    </w:p>
    <w:p>
      <w:pPr>
        <w:pStyle w:val="Normal"/>
        <w:numPr>
          <w:ilvl w:val="1"/>
          <w:numId w:val="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posiadających znaczny lub umiarkowany stopień niepełnosprawności; </w:t>
      </w:r>
    </w:p>
    <w:p>
      <w:pPr>
        <w:pStyle w:val="Normal"/>
        <w:numPr>
          <w:ilvl w:val="1"/>
          <w:numId w:val="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 zaburzeniami psychicznymi – w zakresie wsparcia, dla którego przewidziano takie kryterium. </w:t>
      </w:r>
    </w:p>
    <w:p>
      <w:pPr>
        <w:pStyle w:val="Normal"/>
        <w:numPr>
          <w:ilvl w:val="0"/>
          <w:numId w:val="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Jedna osoba może korzystać z różnych form wsparcia, jeżeli wynika to z jej potrzeb i zasad określonych dla poszczególnych zadań Projektu. </w:t>
      </w:r>
    </w:p>
    <w:p>
      <w:pPr>
        <w:pStyle w:val="Normal"/>
        <w:numPr>
          <w:ilvl w:val="0"/>
          <w:numId w:val="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 wyjątkowych sytuacjach możliwy będzie udział w Projekcie opiekuna faktycznego, którego podopieczny nie jest Uczestnikiem Projektu.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4. Zakres wsparcia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tbl>
      <w:tblPr>
        <w:tblStyle w:val="TableGrid"/>
        <w:tblW w:w="997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1"/>
        <w:gridCol w:w="4199"/>
        <w:gridCol w:w="4653"/>
      </w:tblGrid>
      <w:tr>
        <w:trPr/>
        <w:tc>
          <w:tcPr>
            <w:tcW w:w="1121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Zadanie</w:t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Nazwa / odbiorcy</w:t>
            </w:r>
          </w:p>
        </w:tc>
        <w:tc>
          <w:tcPr>
            <w:tcW w:w="4653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Podstawowy zakres</w:t>
            </w:r>
          </w:p>
        </w:tc>
      </w:tr>
      <w:tr>
        <w:trPr/>
        <w:tc>
          <w:tcPr>
            <w:tcW w:w="1121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Dzienny Dom Pomocy – osoby potrzebujące wsparcia</w:t>
            </w:r>
          </w:p>
        </w:tc>
        <w:tc>
          <w:tcPr>
            <w:tcW w:w="4653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15 miejsc stacjonarnych; łącznie 30 osób; usługi społeczne i zdrowotne, aktywizacja, profilaktyka, rehabilitacja, transport i inne działania zgodnie z IPW.</w:t>
            </w:r>
          </w:p>
        </w:tc>
      </w:tr>
      <w:tr>
        <w:trPr/>
        <w:tc>
          <w:tcPr>
            <w:tcW w:w="1121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</w:t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Specjalistyczne usługi opiekuńcze i wsparcie towarzyszące – osoby potrzebujące wsparcia</w:t>
            </w:r>
          </w:p>
        </w:tc>
        <w:tc>
          <w:tcPr>
            <w:tcW w:w="4653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Łącznie 45 osób; specjalistyczne usługi opiekuńcze w miejscu zamieszkania, usługi pielęgniarskie, rehabilitacja/fizjoterapia, inni specjaliści, usługi gospodarskie, badania profilaktyczne, dozowniki leków.</w:t>
            </w:r>
          </w:p>
        </w:tc>
      </w:tr>
      <w:tr>
        <w:trPr/>
        <w:tc>
          <w:tcPr>
            <w:tcW w:w="1121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</w:t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Opieka wytchnieniowa i wsparcie opiekunów faktycznych</w:t>
            </w:r>
          </w:p>
        </w:tc>
        <w:tc>
          <w:tcPr>
            <w:tcW w:w="4653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75 opiekunów: poradnictwo psychologiczne i specjalistyczne/zdrowotne; dla 13 opiekunów dodatkowo opieka wytchnieniowa.</w:t>
            </w:r>
          </w:p>
        </w:tc>
      </w:tr>
      <w:tr>
        <w:trPr/>
        <w:tc>
          <w:tcPr>
            <w:tcW w:w="1121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</w:t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Wypożyczalnia sprzętu rehabilitacyjnego – doposażenie</w:t>
            </w:r>
          </w:p>
        </w:tc>
        <w:tc>
          <w:tcPr>
            <w:tcW w:w="4653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Wypożyczanie sprzętu zakupionego w projekcie wyłącznie grupie docelowej projektu; m.in. schodołazy, materace przeciwodleżynowe, łóżka rehabilitacyjne, elektryczne wózki inwalidzkie.</w:t>
            </w:r>
          </w:p>
        </w:tc>
      </w:tr>
      <w:tr>
        <w:trPr/>
        <w:tc>
          <w:tcPr>
            <w:tcW w:w="1121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</w:t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Szkolenia kadr i opiekunów faktycznych</w:t>
            </w:r>
          </w:p>
        </w:tc>
        <w:tc>
          <w:tcPr>
            <w:tcW w:w="4653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Pierwsza pomoc dla opiekunów; instruktaż pielęgniarski dla wybranych opiekunów; warsztaty antydyskryminacyjne dla kadry realizującej usługi; superwizja dla kadr usług społecznych i zdrowotnych.</w:t>
            </w:r>
          </w:p>
        </w:tc>
      </w:tr>
    </w:tbl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numPr>
          <w:ilvl w:val="0"/>
          <w:numId w:val="10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Zakres wsparcia udzielanego konkretnej osobie jest dostosowywany do jej potrzeb oraz założeń właściwego zadania Projektu. </w:t>
      </w:r>
    </w:p>
    <w:p>
      <w:pPr>
        <w:pStyle w:val="Normal"/>
        <w:numPr>
          <w:ilvl w:val="0"/>
          <w:numId w:val="10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Osoby objęte wsparciem w zadaniach 1 i 2 podlegają indywidualnej diagnozie potrzeb oraz opracowaniu IPW zgodnie z § 12 Regulaminu.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5. Zasady prowadzenia rekrutacji</w:t>
      </w:r>
    </w:p>
    <w:p>
      <w:pPr>
        <w:pStyle w:val="Normal"/>
        <w:numPr>
          <w:ilvl w:val="0"/>
          <w:numId w:val="1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Rekrutacja prowadzona jest w sposób otwarty, przejrzysty, bezstronny i niedyskryminujący. </w:t>
      </w:r>
    </w:p>
    <w:p>
      <w:pPr>
        <w:pStyle w:val="Normal"/>
        <w:numPr>
          <w:ilvl w:val="0"/>
          <w:numId w:val="1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Rekrutacja prowadzona jest w turach określonych we wniosku o dofinansowanie oraz – w przypadku wystąpienia takiej potrzeby – w ramach rekrutacji uzupełniającej. </w:t>
      </w:r>
    </w:p>
    <w:p>
      <w:pPr>
        <w:pStyle w:val="Normal"/>
        <w:numPr>
          <w:ilvl w:val="0"/>
          <w:numId w:val="1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Dokumenty rekrutacyjne mogą być składane: </w:t>
      </w:r>
    </w:p>
    <w:p>
      <w:pPr>
        <w:pStyle w:val="Normal"/>
        <w:numPr>
          <w:ilvl w:val="1"/>
          <w:numId w:val="1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osobiście w siedzibie GOPS w Pawłowie w dni robocze, w godzinach pracy GOPS; </w:t>
      </w:r>
    </w:p>
    <w:p>
      <w:pPr>
        <w:pStyle w:val="Normal"/>
        <w:numPr>
          <w:ilvl w:val="1"/>
          <w:numId w:val="1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drogą pocztową; </w:t>
      </w:r>
    </w:p>
    <w:p>
      <w:pPr>
        <w:pStyle w:val="Normal"/>
        <w:numPr>
          <w:ilvl w:val="1"/>
          <w:numId w:val="1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 miejscu zamieszkania kandydata – w przypadkach uzasadnionych jego sytuacją, po wcześniejszym zgłoszeniu telefonicznym przez potencjalnego Uczestnika. </w:t>
      </w:r>
    </w:p>
    <w:p>
      <w:pPr>
        <w:pStyle w:val="Normal"/>
        <w:numPr>
          <w:ilvl w:val="0"/>
          <w:numId w:val="1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Osobom starszym i osobom z niepełnosprawnościami zapewnia się możliwość uzyskania pomocy w wypełnieniu dokumentacji rekrutacyjnej. Zasada ta wynika również z zatwierdzonego wniosku. </w:t>
      </w:r>
    </w:p>
    <w:p>
      <w:pPr>
        <w:pStyle w:val="Normal"/>
        <w:numPr>
          <w:ilvl w:val="0"/>
          <w:numId w:val="1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Złożenie dokumentów rekrutacyjnych nie jest równoznaczne z zakwalifikowaniem do udziału w Projekcie.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6. Terminy rekrutacji</w:t>
      </w:r>
    </w:p>
    <w:p>
      <w:pPr>
        <w:pStyle w:val="Normal"/>
        <w:numPr>
          <w:ilvl w:val="0"/>
          <w:numId w:val="1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Rekrutacja do Dziennego Domu Pomocy w ramach zadania 1 prowadzona jest w następujących turach: </w:t>
      </w:r>
    </w:p>
    <w:p>
      <w:pPr>
        <w:pStyle w:val="Normal"/>
        <w:numPr>
          <w:ilvl w:val="1"/>
          <w:numId w:val="1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od 1 czerwca 2027 r. do 30 czerwca 2027 r.; </w:t>
      </w:r>
    </w:p>
    <w:p>
      <w:pPr>
        <w:pStyle w:val="Normal"/>
        <w:numPr>
          <w:ilvl w:val="1"/>
          <w:numId w:val="1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od 1 czerwca 2028 r. do 30 czerwca 2028 r. </w:t>
      </w:r>
    </w:p>
    <w:p>
      <w:pPr>
        <w:pStyle w:val="Normal"/>
        <w:numPr>
          <w:ilvl w:val="0"/>
          <w:numId w:val="1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Rekrutacja do wsparcia realizowanego w ramach zadania 2 prowadzona jest w następujących turach: </w:t>
      </w:r>
    </w:p>
    <w:p>
      <w:pPr>
        <w:pStyle w:val="Normal"/>
        <w:numPr>
          <w:ilvl w:val="1"/>
          <w:numId w:val="1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od 1 września 2026 r. do </w:t>
      </w:r>
      <w:r>
        <w:rPr>
          <w:rFonts w:eastAsia="ＭＳ 明朝" w:cs="" w:ascii="Arial" w:hAnsi="Arial" w:cstheme="minorBidi" w:eastAsiaTheme="minorEastAsia"/>
          <w:color w:val="auto"/>
          <w:kern w:val="0"/>
          <w:sz w:val="24"/>
          <w:szCs w:val="24"/>
          <w:lang w:val="en-US" w:eastAsia="en-US" w:bidi="ar-SA"/>
        </w:rPr>
        <w:t>14</w:t>
      </w:r>
      <w:r>
        <w:rPr>
          <w:rFonts w:ascii="Arial" w:hAnsi="Arial"/>
          <w:sz w:val="24"/>
          <w:szCs w:val="24"/>
        </w:rPr>
        <w:t xml:space="preserve"> września 2026 r. </w:t>
      </w:r>
    </w:p>
    <w:p>
      <w:pPr>
        <w:pStyle w:val="Normal"/>
        <w:numPr>
          <w:ilvl w:val="1"/>
          <w:numId w:val="1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od 1 września 2027 r. do </w:t>
      </w:r>
      <w:r>
        <w:rPr>
          <w:rFonts w:eastAsia="ＭＳ 明朝" w:cs="" w:ascii="Arial" w:hAnsi="Arial" w:cstheme="minorBidi" w:eastAsiaTheme="minorEastAsia"/>
          <w:color w:val="auto"/>
          <w:kern w:val="0"/>
          <w:sz w:val="24"/>
          <w:szCs w:val="24"/>
          <w:lang w:val="en-US" w:eastAsia="en-US" w:bidi="ar-SA"/>
        </w:rPr>
        <w:t>14</w:t>
      </w:r>
      <w:r>
        <w:rPr>
          <w:rFonts w:ascii="Arial" w:hAnsi="Arial"/>
          <w:sz w:val="24"/>
          <w:szCs w:val="24"/>
        </w:rPr>
        <w:t xml:space="preserve"> września 2027 r.; </w:t>
      </w:r>
    </w:p>
    <w:p>
      <w:pPr>
        <w:pStyle w:val="Normal"/>
        <w:numPr>
          <w:ilvl w:val="1"/>
          <w:numId w:val="1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od 1 września 2028 r. do </w:t>
      </w:r>
      <w:r>
        <w:rPr>
          <w:rFonts w:eastAsia="ＭＳ 明朝" w:cs="" w:ascii="Arial" w:hAnsi="Arial" w:cstheme="minorBidi" w:eastAsiaTheme="minorEastAsia"/>
          <w:color w:val="auto"/>
          <w:kern w:val="0"/>
          <w:sz w:val="24"/>
          <w:szCs w:val="24"/>
          <w:lang w:val="en-US" w:eastAsia="en-US" w:bidi="ar-SA"/>
        </w:rPr>
        <w:t>14</w:t>
      </w:r>
      <w:r>
        <w:rPr>
          <w:rFonts w:ascii="Arial" w:hAnsi="Arial"/>
          <w:sz w:val="24"/>
          <w:szCs w:val="24"/>
        </w:rPr>
        <w:t xml:space="preserve"> września 2028 r. </w:t>
      </w:r>
    </w:p>
    <w:p>
      <w:pPr>
        <w:pStyle w:val="Normal"/>
        <w:numPr>
          <w:ilvl w:val="0"/>
          <w:numId w:val="1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Terminy określone w ust. 1–2 odpowiadają dodatkowym informacjom dotyczącym rekrutacji zawartym w zatwierdzonym wniosku. Zastrzega się prawo do przedłużenia terminów rekrutacji z uwagi na ewentualne opóźnienia w realizacji Projektu z przyczyn niezależnych od Realizatora.</w:t>
      </w:r>
    </w:p>
    <w:p>
      <w:pPr>
        <w:pStyle w:val="Normal"/>
        <w:numPr>
          <w:ilvl w:val="0"/>
          <w:numId w:val="1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 przypadku niewystarczającej liczby kandydatów, rezygnacji uczestników albo powstania wolnych miejsc dopuszcza się przeprowadzenie rekrutacji uzupełniającej, z zachowaniem kryteriów obowiązujących dla danej formy wsparcia.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7. Dokumenty i ocena formalna</w:t>
      </w:r>
    </w:p>
    <w:p>
      <w:pPr>
        <w:pStyle w:val="Normal"/>
        <w:numPr>
          <w:ilvl w:val="0"/>
          <w:numId w:val="1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Warunkiem przystąpienia do procesu rekrutacji jest złożenie wymaganej dokumentacji rekrutacyjnej. </w:t>
      </w:r>
    </w:p>
    <w:p>
      <w:pPr>
        <w:pStyle w:val="Normal"/>
        <w:numPr>
          <w:ilvl w:val="0"/>
          <w:numId w:val="1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 dokumentację rekrutacyjną składa się „Formularz zgłoszeniowy do projektu” zawierający deklarację uczestnictwa w projekcie oraz wymagane oświadczenia Uczestnika Projektu wraz z odpowiednimi załącznikami: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a.  kserokopia orzeczenia o niepełnosprawności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eastAsia="ＭＳ 明朝" w:cs="" w:ascii="Arial" w:hAnsi="Arial" w:cstheme="minorBidi" w:eastAsiaTheme="minorEastAsia"/>
          <w:color w:val="auto"/>
          <w:kern w:val="0"/>
          <w:sz w:val="24"/>
          <w:szCs w:val="24"/>
          <w:lang w:val="en-US" w:eastAsia="en-US" w:bidi="ar-SA"/>
        </w:rPr>
        <w:t>b</w:t>
      </w:r>
      <w:r>
        <w:rPr>
          <w:rFonts w:ascii="Arial" w:hAnsi="Arial"/>
          <w:sz w:val="24"/>
          <w:szCs w:val="24"/>
        </w:rPr>
        <w:t>. Skalę Barthel wypełn</w:t>
      </w:r>
      <w:r>
        <w:rPr>
          <w:rFonts w:eastAsia="ＭＳ 明朝" w:cs="" w:ascii="Arial" w:hAnsi="Arial" w:cstheme="minorBidi" w:eastAsiaTheme="minorEastAsia"/>
          <w:color w:val="auto"/>
          <w:kern w:val="0"/>
          <w:sz w:val="24"/>
          <w:szCs w:val="24"/>
          <w:lang w:val="en-US" w:eastAsia="en-US" w:bidi="ar-SA"/>
        </w:rPr>
        <w:t>iona przez</w:t>
      </w:r>
      <w:r>
        <w:rPr>
          <w:rFonts w:ascii="Arial" w:hAnsi="Arial"/>
          <w:sz w:val="24"/>
          <w:szCs w:val="24"/>
        </w:rPr>
        <w:t xml:space="preserve"> pracownika Podstawowego Zakładu Opieki Zdrowotnej,</w:t>
      </w:r>
    </w:p>
    <w:p>
      <w:pPr>
        <w:pStyle w:val="Normal"/>
        <w:numPr>
          <w:ilvl w:val="0"/>
          <w:numId w:val="1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Dokumentacja powinna być kompletna, czytelna i podpisana w miejscach wymagających podpisu. </w:t>
      </w:r>
    </w:p>
    <w:p>
      <w:pPr>
        <w:pStyle w:val="Normal"/>
        <w:numPr>
          <w:ilvl w:val="0"/>
          <w:numId w:val="1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Spełnienie kryteriów może być potwierdzane dokumentami właściwymi dla danego kryterium, w tym dokumentami dotyczącymi niepełnosprawności, stanu lub sytuacji osoby albo oświadczeniami – w zakresie dopuszczonym dokumentacją Projektu. </w:t>
      </w:r>
    </w:p>
    <w:p>
      <w:pPr>
        <w:pStyle w:val="Normal"/>
        <w:numPr>
          <w:ilvl w:val="0"/>
          <w:numId w:val="1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Ocena formalna obejmuje w szczególności sprawdzenie: </w:t>
      </w:r>
    </w:p>
    <w:p>
      <w:pPr>
        <w:pStyle w:val="Normal"/>
        <w:numPr>
          <w:ilvl w:val="1"/>
          <w:numId w:val="1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przynależności do grupy docelowej; </w:t>
      </w:r>
    </w:p>
    <w:p>
      <w:pPr>
        <w:pStyle w:val="Normal"/>
        <w:numPr>
          <w:ilvl w:val="1"/>
          <w:numId w:val="1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miejsca zamieszkania, a w odniesieniu do kadry – odpowiednio miejsca zamieszkania lub pracy, zgodnie z założeniami Projektu; </w:t>
      </w:r>
    </w:p>
    <w:p>
      <w:pPr>
        <w:pStyle w:val="Normal"/>
        <w:numPr>
          <w:ilvl w:val="1"/>
          <w:numId w:val="1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kompletności dokumentacji; </w:t>
      </w:r>
    </w:p>
    <w:p>
      <w:pPr>
        <w:pStyle w:val="Normal"/>
        <w:numPr>
          <w:ilvl w:val="1"/>
          <w:numId w:val="1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spełnienia kryteriów wymaganych dla danej formy wsparcia. </w:t>
      </w:r>
    </w:p>
    <w:p>
      <w:pPr>
        <w:pStyle w:val="Normal"/>
        <w:numPr>
          <w:ilvl w:val="0"/>
          <w:numId w:val="1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 przypadku braków formalnych kandydat może zostać wezwany do ich uzupełnienia w terminie określonym przez Realizatora Projektu.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8. Zespół Diagnostyczny i ocena skalami</w:t>
      </w:r>
    </w:p>
    <w:p>
      <w:pPr>
        <w:pStyle w:val="Normal"/>
        <w:numPr>
          <w:ilvl w:val="0"/>
          <w:numId w:val="14"/>
        </w:numPr>
        <w:rPr/>
      </w:pPr>
      <w:r>
        <w:rPr>
          <w:rFonts w:ascii="Arial" w:hAnsi="Arial"/>
          <w:sz w:val="24"/>
          <w:szCs w:val="24"/>
        </w:rPr>
        <w:t>Oceny poziomu samodzielności kandydata według skal Katz i Lawton dokonu</w:t>
      </w:r>
      <w:r>
        <w:rPr>
          <w:rFonts w:ascii="Arial" w:hAnsi="Arial"/>
          <w:b w:val="false"/>
          <w:bCs w:val="false"/>
          <w:sz w:val="24"/>
          <w:szCs w:val="24"/>
        </w:rPr>
        <w:t xml:space="preserve">je </w:t>
      </w:r>
      <w:r>
        <w:rPr>
          <w:rStyle w:val="Mocnewyrnione"/>
          <w:rFonts w:ascii="Arial" w:hAnsi="Arial"/>
          <w:b w:val="false"/>
          <w:bCs w:val="false"/>
          <w:sz w:val="24"/>
          <w:szCs w:val="24"/>
        </w:rPr>
        <w:t>Zespół Diagnostyczny liczący co najmniej 3 osoby</w:t>
      </w:r>
      <w:r>
        <w:rPr>
          <w:rFonts w:ascii="Arial" w:hAnsi="Arial"/>
          <w:b w:val="false"/>
          <w:bCs w:val="false"/>
          <w:sz w:val="24"/>
          <w:szCs w:val="24"/>
        </w:rPr>
        <w:t>.</w:t>
      </w:r>
    </w:p>
    <w:p>
      <w:pPr>
        <w:pStyle w:val="Normal"/>
        <w:numPr>
          <w:ilvl w:val="0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 skład Zespołu Diagnostycznego wchodzą pracownicy socjalni GOPS w Pawłowie wskazani przez Kierownika GOPS. </w:t>
      </w:r>
    </w:p>
    <w:p>
      <w:pPr>
        <w:pStyle w:val="Normal"/>
        <w:numPr>
          <w:ilvl w:val="0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Członkowie Zespołu dokonują oceny na podstawie właściwych skal oraz potwierdzają przeprowadzenie oceny w dokumentacji. </w:t>
      </w:r>
    </w:p>
    <w:p>
      <w:pPr>
        <w:pStyle w:val="Normal"/>
        <w:numPr>
          <w:ilvl w:val="0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Skalę Barthel wypełnia pracownik Podstawowego Zakładu Opieki Zdrowotnej, zgodnie z założeniami zatwierdzonego wniosku. </w:t>
      </w:r>
    </w:p>
    <w:p>
      <w:pPr>
        <w:pStyle w:val="Normal"/>
        <w:numPr>
          <w:ilvl w:val="0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Wyniki przeprowadzonych ocen stanowią element dokumentacji wykorzystywanej w procesie kwalifikacji uczestników do odpowiednich form wsparcia.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9. Kryteria punktowe – Dzienny Dom Pomocy</w:t>
      </w:r>
    </w:p>
    <w:p>
      <w:pPr>
        <w:pStyle w:val="Normal"/>
        <w:numPr>
          <w:ilvl w:val="0"/>
          <w:numId w:val="1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 procesie kwalifikacji do Dziennego Domu Pomocy stosuje się kryteria wynikające z zatwierdzonego wniosku o dofinansowanie. </w:t>
      </w:r>
    </w:p>
    <w:p>
      <w:pPr>
        <w:pStyle w:val="Normal"/>
        <w:numPr>
          <w:ilvl w:val="0"/>
          <w:numId w:val="1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Punkty przyznawane są w następujący sposób: </w:t>
      </w:r>
    </w:p>
    <w:p>
      <w:pPr>
        <w:pStyle w:val="Normal"/>
        <w:numPr>
          <w:ilvl w:val="1"/>
          <w:numId w:val="15"/>
        </w:numPr>
        <w:rPr/>
      </w:pPr>
      <w:r>
        <w:rPr>
          <w:rFonts w:ascii="Arial" w:hAnsi="Arial"/>
          <w:sz w:val="24"/>
          <w:szCs w:val="24"/>
        </w:rPr>
        <w:t>osoba samotnie z</w:t>
      </w:r>
      <w:r>
        <w:rPr>
          <w:rFonts w:ascii="Arial" w:hAnsi="Arial"/>
          <w:b w:val="false"/>
          <w:bCs w:val="false"/>
          <w:sz w:val="24"/>
          <w:szCs w:val="24"/>
        </w:rPr>
        <w:t xml:space="preserve">amieszkująca – </w:t>
      </w:r>
      <w:r>
        <w:rPr>
          <w:rStyle w:val="Mocnewyrnione"/>
          <w:rFonts w:ascii="Arial" w:hAnsi="Arial"/>
          <w:b w:val="false"/>
          <w:bCs w:val="false"/>
          <w:sz w:val="24"/>
          <w:szCs w:val="24"/>
        </w:rPr>
        <w:t>4 pkt</w:t>
      </w:r>
      <w:r>
        <w:rPr>
          <w:rFonts w:ascii="Arial" w:hAnsi="Arial"/>
          <w:b w:val="false"/>
          <w:bCs w:val="false"/>
          <w:sz w:val="24"/>
          <w:szCs w:val="24"/>
        </w:rPr>
        <w:t xml:space="preserve">; </w:t>
      </w:r>
    </w:p>
    <w:p>
      <w:pPr>
        <w:pStyle w:val="Normal"/>
        <w:numPr>
          <w:ilvl w:val="1"/>
          <w:numId w:val="15"/>
        </w:numPr>
        <w:rPr/>
      </w:pPr>
      <w:r>
        <w:rPr>
          <w:rFonts w:ascii="Arial" w:hAnsi="Arial"/>
          <w:b w:val="false"/>
          <w:bCs w:val="false"/>
          <w:sz w:val="24"/>
          <w:szCs w:val="24"/>
        </w:rPr>
        <w:t xml:space="preserve">osoba posiadająca znaczny lub umiarkowany stopień niepełnosprawności – </w:t>
      </w:r>
      <w:r>
        <w:rPr>
          <w:rStyle w:val="Mocnewyrnione"/>
          <w:rFonts w:ascii="Arial" w:hAnsi="Arial"/>
          <w:b w:val="false"/>
          <w:bCs w:val="false"/>
          <w:sz w:val="24"/>
          <w:szCs w:val="24"/>
        </w:rPr>
        <w:t>4 pkt</w:t>
      </w:r>
      <w:r>
        <w:rPr>
          <w:rFonts w:ascii="Arial" w:hAnsi="Arial"/>
          <w:b w:val="false"/>
          <w:bCs w:val="false"/>
          <w:sz w:val="24"/>
          <w:szCs w:val="24"/>
        </w:rPr>
        <w:t xml:space="preserve">; </w:t>
      </w:r>
    </w:p>
    <w:p>
      <w:pPr>
        <w:pStyle w:val="Normal"/>
        <w:numPr>
          <w:ilvl w:val="1"/>
          <w:numId w:val="15"/>
        </w:numPr>
        <w:rPr/>
      </w:pPr>
      <w:r>
        <w:rPr>
          <w:rFonts w:ascii="Arial" w:hAnsi="Arial"/>
          <w:b w:val="false"/>
          <w:bCs w:val="false"/>
          <w:sz w:val="24"/>
          <w:szCs w:val="24"/>
        </w:rPr>
        <w:t xml:space="preserve">wynik 17–30 pkt uzyskany łącznie w skalach Katz i Lawton – </w:t>
      </w:r>
      <w:r>
        <w:rPr>
          <w:rStyle w:val="Mocnewyrnione"/>
          <w:rFonts w:ascii="Arial" w:hAnsi="Arial"/>
          <w:b w:val="false"/>
          <w:bCs w:val="false"/>
          <w:sz w:val="24"/>
          <w:szCs w:val="24"/>
        </w:rPr>
        <w:t>2 pkt</w:t>
      </w:r>
      <w:r>
        <w:rPr>
          <w:rFonts w:ascii="Arial" w:hAnsi="Arial"/>
          <w:b w:val="false"/>
          <w:bCs w:val="false"/>
          <w:sz w:val="24"/>
          <w:szCs w:val="24"/>
        </w:rPr>
        <w:t xml:space="preserve">; </w:t>
      </w:r>
    </w:p>
    <w:p>
      <w:pPr>
        <w:pStyle w:val="Normal"/>
        <w:numPr>
          <w:ilvl w:val="1"/>
          <w:numId w:val="15"/>
        </w:numPr>
        <w:rPr/>
      </w:pPr>
      <w:r>
        <w:rPr>
          <w:rFonts w:ascii="Arial" w:hAnsi="Arial"/>
          <w:b w:val="false"/>
          <w:bCs w:val="false"/>
          <w:sz w:val="24"/>
          <w:szCs w:val="24"/>
        </w:rPr>
        <w:t xml:space="preserve">wynik do 16 pkt uzyskany łącznie w skalach Katz i Lawton – </w:t>
      </w:r>
      <w:r>
        <w:rPr>
          <w:rStyle w:val="Mocnewyrnione"/>
          <w:rFonts w:ascii="Arial" w:hAnsi="Arial"/>
          <w:b w:val="false"/>
          <w:bCs w:val="false"/>
          <w:sz w:val="24"/>
          <w:szCs w:val="24"/>
        </w:rPr>
        <w:t>3 pkt</w:t>
      </w:r>
      <w:r>
        <w:rPr>
          <w:rFonts w:ascii="Arial" w:hAnsi="Arial"/>
          <w:b w:val="false"/>
          <w:bCs w:val="false"/>
          <w:sz w:val="24"/>
          <w:szCs w:val="24"/>
        </w:rPr>
        <w:t xml:space="preserve">; </w:t>
      </w:r>
    </w:p>
    <w:p>
      <w:pPr>
        <w:pStyle w:val="Normal"/>
        <w:numPr>
          <w:ilvl w:val="1"/>
          <w:numId w:val="15"/>
        </w:numPr>
        <w:rPr/>
      </w:pPr>
      <w:r>
        <w:rPr>
          <w:rFonts w:ascii="Arial" w:hAnsi="Arial"/>
          <w:b w:val="false"/>
          <w:bCs w:val="false"/>
          <w:sz w:val="24"/>
          <w:szCs w:val="24"/>
        </w:rPr>
        <w:t xml:space="preserve">wynik 60–80 pkt w skali Barthel – </w:t>
      </w:r>
      <w:r>
        <w:rPr>
          <w:rStyle w:val="Mocnewyrnione"/>
          <w:rFonts w:ascii="Arial" w:hAnsi="Arial"/>
          <w:b w:val="false"/>
          <w:bCs w:val="false"/>
          <w:sz w:val="24"/>
          <w:szCs w:val="24"/>
        </w:rPr>
        <w:t>2 pkt</w:t>
      </w:r>
      <w:r>
        <w:rPr>
          <w:rFonts w:ascii="Arial" w:hAnsi="Arial"/>
          <w:b w:val="false"/>
          <w:bCs w:val="false"/>
          <w:sz w:val="24"/>
          <w:szCs w:val="24"/>
        </w:rPr>
        <w:t xml:space="preserve">; </w:t>
      </w:r>
    </w:p>
    <w:p>
      <w:pPr>
        <w:pStyle w:val="Normal"/>
        <w:numPr>
          <w:ilvl w:val="1"/>
          <w:numId w:val="15"/>
        </w:numPr>
        <w:rPr/>
      </w:pPr>
      <w:r>
        <w:rPr>
          <w:rFonts w:ascii="Arial" w:hAnsi="Arial"/>
          <w:b w:val="false"/>
          <w:bCs w:val="false"/>
          <w:sz w:val="24"/>
          <w:szCs w:val="24"/>
        </w:rPr>
        <w:t xml:space="preserve">wynik 40–59 pkt w skali Barthel – </w:t>
      </w:r>
      <w:r>
        <w:rPr>
          <w:rStyle w:val="Mocnewyrnione"/>
          <w:rFonts w:ascii="Arial" w:hAnsi="Arial"/>
          <w:b w:val="false"/>
          <w:bCs w:val="false"/>
          <w:sz w:val="24"/>
          <w:szCs w:val="24"/>
        </w:rPr>
        <w:t>3 pkt</w:t>
      </w:r>
      <w:r>
        <w:rPr>
          <w:rFonts w:ascii="Arial" w:hAnsi="Arial"/>
          <w:b w:val="false"/>
          <w:bCs w:val="false"/>
          <w:sz w:val="24"/>
          <w:szCs w:val="24"/>
        </w:rPr>
        <w:t xml:space="preserve">. </w:t>
      </w:r>
    </w:p>
    <w:p>
      <w:pPr>
        <w:pStyle w:val="Normal"/>
        <w:numPr>
          <w:ilvl w:val="0"/>
          <w:numId w:val="15"/>
        </w:numPr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 xml:space="preserve">Osoby, które uzyskały w skali Barthel wynik poniżej 40 pkt, nie są kwalifikowane do wsparcia w DDP. </w:t>
      </w:r>
    </w:p>
    <w:p>
      <w:pPr>
        <w:pStyle w:val="Normal"/>
        <w:numPr>
          <w:ilvl w:val="0"/>
          <w:numId w:val="15"/>
        </w:numPr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 xml:space="preserve">Wyniki oceny są dokumentowane w karcie oceny kandydata. </w:t>
      </w:r>
    </w:p>
    <w:p>
      <w:pPr>
        <w:pStyle w:val="Normal"/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>§ 10. Kryteria punktowe – zadanie 2</w:t>
      </w:r>
    </w:p>
    <w:p>
      <w:pPr>
        <w:pStyle w:val="Normal"/>
        <w:numPr>
          <w:ilvl w:val="0"/>
          <w:numId w:val="16"/>
        </w:numPr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 xml:space="preserve">W procesie kwalifikacji do wsparcia w ramach zadania 2 stosuje się następujące kryteria: </w:t>
      </w:r>
    </w:p>
    <w:p>
      <w:pPr>
        <w:pStyle w:val="Normal"/>
        <w:numPr>
          <w:ilvl w:val="1"/>
          <w:numId w:val="16"/>
        </w:numPr>
        <w:rPr/>
      </w:pPr>
      <w:r>
        <w:rPr>
          <w:rFonts w:ascii="Arial" w:hAnsi="Arial"/>
          <w:b w:val="false"/>
          <w:bCs w:val="false"/>
          <w:sz w:val="24"/>
          <w:szCs w:val="24"/>
        </w:rPr>
        <w:t xml:space="preserve">znaczny lub umiarkowany stopień niepełnosprawności – </w:t>
      </w:r>
      <w:r>
        <w:rPr>
          <w:rStyle w:val="Mocnewyrnione"/>
          <w:rFonts w:ascii="Arial" w:hAnsi="Arial"/>
          <w:b w:val="false"/>
          <w:bCs w:val="false"/>
          <w:sz w:val="24"/>
          <w:szCs w:val="24"/>
        </w:rPr>
        <w:t>4 pkt</w:t>
      </w:r>
      <w:r>
        <w:rPr>
          <w:rFonts w:ascii="Arial" w:hAnsi="Arial"/>
          <w:b w:val="false"/>
          <w:bCs w:val="false"/>
          <w:sz w:val="24"/>
          <w:szCs w:val="24"/>
        </w:rPr>
        <w:t xml:space="preserve">; </w:t>
      </w:r>
    </w:p>
    <w:p>
      <w:pPr>
        <w:pStyle w:val="Normal"/>
        <w:numPr>
          <w:ilvl w:val="1"/>
          <w:numId w:val="16"/>
        </w:numPr>
        <w:rPr/>
      </w:pPr>
      <w:r>
        <w:rPr>
          <w:rFonts w:ascii="Arial" w:hAnsi="Arial"/>
          <w:b w:val="false"/>
          <w:bCs w:val="false"/>
          <w:sz w:val="24"/>
          <w:szCs w:val="24"/>
        </w:rPr>
        <w:t xml:space="preserve">zaburzenia psychiczne – </w:t>
      </w:r>
      <w:r>
        <w:rPr>
          <w:rStyle w:val="Mocnewyrnione"/>
          <w:rFonts w:ascii="Arial" w:hAnsi="Arial"/>
          <w:b w:val="false"/>
          <w:bCs w:val="false"/>
          <w:sz w:val="24"/>
          <w:szCs w:val="24"/>
        </w:rPr>
        <w:t>4 pkt</w:t>
      </w:r>
      <w:r>
        <w:rPr>
          <w:rFonts w:ascii="Arial" w:hAnsi="Arial"/>
          <w:b w:val="false"/>
          <w:bCs w:val="false"/>
          <w:sz w:val="24"/>
          <w:szCs w:val="24"/>
        </w:rPr>
        <w:t xml:space="preserve">; </w:t>
      </w:r>
    </w:p>
    <w:p>
      <w:pPr>
        <w:pStyle w:val="Normal"/>
        <w:numPr>
          <w:ilvl w:val="1"/>
          <w:numId w:val="16"/>
        </w:numPr>
        <w:rPr/>
      </w:pPr>
      <w:r>
        <w:rPr>
          <w:rFonts w:ascii="Arial" w:hAnsi="Arial"/>
          <w:b w:val="false"/>
          <w:bCs w:val="false"/>
          <w:sz w:val="24"/>
          <w:szCs w:val="24"/>
        </w:rPr>
        <w:t xml:space="preserve">wynik 16–30 pkt uzyskany łącznie w skalach Katz i Lawton – </w:t>
      </w:r>
      <w:r>
        <w:rPr>
          <w:rStyle w:val="Mocnewyrnione"/>
          <w:rFonts w:ascii="Arial" w:hAnsi="Arial"/>
          <w:b w:val="false"/>
          <w:bCs w:val="false"/>
          <w:sz w:val="24"/>
          <w:szCs w:val="24"/>
        </w:rPr>
        <w:t>2 pkt</w:t>
      </w:r>
      <w:r>
        <w:rPr>
          <w:rFonts w:ascii="Arial" w:hAnsi="Arial"/>
          <w:b w:val="false"/>
          <w:bCs w:val="false"/>
          <w:sz w:val="24"/>
          <w:szCs w:val="24"/>
        </w:rPr>
        <w:t xml:space="preserve">; </w:t>
      </w:r>
    </w:p>
    <w:p>
      <w:pPr>
        <w:pStyle w:val="Normal"/>
        <w:numPr>
          <w:ilvl w:val="1"/>
          <w:numId w:val="16"/>
        </w:numPr>
        <w:rPr/>
      </w:pPr>
      <w:r>
        <w:rPr>
          <w:rFonts w:ascii="Arial" w:hAnsi="Arial"/>
          <w:b w:val="false"/>
          <w:bCs w:val="false"/>
          <w:sz w:val="24"/>
          <w:szCs w:val="24"/>
        </w:rPr>
        <w:t xml:space="preserve">wynik do 15 pkt uzyskany łącznie w skalach Katz i Lawton – </w:t>
      </w:r>
      <w:r>
        <w:rPr>
          <w:rStyle w:val="Mocnewyrnione"/>
          <w:rFonts w:ascii="Arial" w:hAnsi="Arial"/>
          <w:b w:val="false"/>
          <w:bCs w:val="false"/>
          <w:sz w:val="24"/>
          <w:szCs w:val="24"/>
        </w:rPr>
        <w:t>3 pkt</w:t>
      </w:r>
      <w:r>
        <w:rPr>
          <w:rFonts w:ascii="Arial" w:hAnsi="Arial"/>
          <w:b w:val="false"/>
          <w:bCs w:val="false"/>
          <w:sz w:val="24"/>
          <w:szCs w:val="24"/>
        </w:rPr>
        <w:t xml:space="preserve">; </w:t>
      </w:r>
    </w:p>
    <w:p>
      <w:pPr>
        <w:pStyle w:val="Normal"/>
        <w:numPr>
          <w:ilvl w:val="1"/>
          <w:numId w:val="16"/>
        </w:numPr>
        <w:rPr/>
      </w:pPr>
      <w:r>
        <w:rPr>
          <w:rFonts w:ascii="Arial" w:hAnsi="Arial"/>
          <w:b w:val="false"/>
          <w:bCs w:val="false"/>
          <w:sz w:val="24"/>
          <w:szCs w:val="24"/>
        </w:rPr>
        <w:t xml:space="preserve">wynik 60–80 pkt w skali Barthel – </w:t>
      </w:r>
      <w:r>
        <w:rPr>
          <w:rStyle w:val="Mocnewyrnione"/>
          <w:rFonts w:ascii="Arial" w:hAnsi="Arial"/>
          <w:b w:val="false"/>
          <w:bCs w:val="false"/>
          <w:sz w:val="24"/>
          <w:szCs w:val="24"/>
        </w:rPr>
        <w:t>2 pkt</w:t>
      </w:r>
      <w:r>
        <w:rPr>
          <w:rFonts w:ascii="Arial" w:hAnsi="Arial"/>
          <w:b w:val="false"/>
          <w:bCs w:val="false"/>
          <w:sz w:val="24"/>
          <w:szCs w:val="24"/>
        </w:rPr>
        <w:t xml:space="preserve">; </w:t>
      </w:r>
    </w:p>
    <w:p>
      <w:pPr>
        <w:pStyle w:val="Normal"/>
        <w:numPr>
          <w:ilvl w:val="1"/>
          <w:numId w:val="16"/>
        </w:numPr>
        <w:rPr/>
      </w:pPr>
      <w:r>
        <w:rPr>
          <w:rFonts w:ascii="Arial" w:hAnsi="Arial"/>
          <w:b w:val="false"/>
          <w:bCs w:val="false"/>
          <w:sz w:val="24"/>
          <w:szCs w:val="24"/>
        </w:rPr>
        <w:t xml:space="preserve">wynik 0–59 pkt w skali Barthel – </w:t>
      </w:r>
      <w:r>
        <w:rPr>
          <w:rStyle w:val="Mocnewyrnione"/>
          <w:rFonts w:ascii="Arial" w:hAnsi="Arial"/>
          <w:b w:val="false"/>
          <w:bCs w:val="false"/>
          <w:sz w:val="24"/>
          <w:szCs w:val="24"/>
        </w:rPr>
        <w:t>3 pkt</w:t>
      </w:r>
      <w:r>
        <w:rPr>
          <w:rFonts w:ascii="Arial" w:hAnsi="Arial"/>
          <w:b w:val="false"/>
          <w:bCs w:val="false"/>
          <w:sz w:val="24"/>
          <w:szCs w:val="24"/>
        </w:rPr>
        <w:t xml:space="preserve">. </w:t>
      </w:r>
    </w:p>
    <w:p>
      <w:pPr>
        <w:pStyle w:val="Normal"/>
        <w:numPr>
          <w:ilvl w:val="0"/>
          <w:numId w:val="16"/>
        </w:numPr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 xml:space="preserve">Pomocniczo przy kwalifikacji uwzględniana jest kolejność zgłoszeń, zgodnie z założeniami Projektu. </w:t>
      </w:r>
    </w:p>
    <w:p>
      <w:pPr>
        <w:pStyle w:val="Normal"/>
        <w:numPr>
          <w:ilvl w:val="0"/>
          <w:numId w:val="1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Wyniki oceny są dokumentowane w karcie oceny kandydata.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11. Komisja Rekrutacyjna i kwalifikacja uczestników</w:t>
      </w:r>
    </w:p>
    <w:p>
      <w:pPr>
        <w:pStyle w:val="Normal"/>
        <w:numPr>
          <w:ilvl w:val="0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Oceny dokumentów rekrutacyjnych oraz kwalifikacji kandydatów do udziału w Projekcie dokonuje Komisja Rekrutacyjna. </w:t>
      </w:r>
    </w:p>
    <w:p>
      <w:pPr>
        <w:pStyle w:val="Normal"/>
        <w:numPr>
          <w:ilvl w:val="0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 skład Komisji Rekrutacyjnej wchodzą: </w:t>
      </w:r>
    </w:p>
    <w:p>
      <w:pPr>
        <w:pStyle w:val="Normal"/>
        <w:numPr>
          <w:ilvl w:val="1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Kierownik GOPS w Pawłowie; </w:t>
      </w:r>
    </w:p>
    <w:p>
      <w:pPr>
        <w:pStyle w:val="Normal"/>
        <w:numPr>
          <w:ilvl w:val="1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Koordynator Projektu. </w:t>
      </w:r>
    </w:p>
    <w:p>
      <w:pPr>
        <w:pStyle w:val="Normal"/>
        <w:numPr>
          <w:ilvl w:val="1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Kierownik Dziennego Domu Pomocy ( w odniesieniu do Zadania 1) </w:t>
      </w:r>
    </w:p>
    <w:p>
      <w:pPr>
        <w:pStyle w:val="Normal"/>
        <w:numPr>
          <w:ilvl w:val="0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Komisja Rekrutacyjna dokonuje kwalifikacji na podstawie: </w:t>
      </w:r>
    </w:p>
    <w:p>
      <w:pPr>
        <w:pStyle w:val="Normal"/>
        <w:numPr>
          <w:ilvl w:val="1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złożonej dokumentacji rekrutacyjnej; </w:t>
      </w:r>
    </w:p>
    <w:p>
      <w:pPr>
        <w:pStyle w:val="Normal"/>
        <w:numPr>
          <w:ilvl w:val="1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wyników oceny formalnej; </w:t>
      </w:r>
    </w:p>
    <w:p>
      <w:pPr>
        <w:pStyle w:val="Normal"/>
        <w:numPr>
          <w:ilvl w:val="1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wyników skal Katz i Lawton; </w:t>
      </w:r>
    </w:p>
    <w:p>
      <w:pPr>
        <w:pStyle w:val="Normal"/>
        <w:numPr>
          <w:ilvl w:val="1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wyniku skali Barthel – jeżeli dotyczy; </w:t>
      </w:r>
    </w:p>
    <w:p>
      <w:pPr>
        <w:pStyle w:val="Normal"/>
        <w:numPr>
          <w:ilvl w:val="1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kryteriów punktowych właściwych dla danej formy wsparcia; </w:t>
      </w:r>
    </w:p>
    <w:p>
      <w:pPr>
        <w:pStyle w:val="Normal"/>
        <w:numPr>
          <w:ilvl w:val="1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innych dokumentów wymaganych zgodnie z założeniami Projektu. </w:t>
      </w:r>
    </w:p>
    <w:p>
      <w:pPr>
        <w:pStyle w:val="Normal"/>
        <w:numPr>
          <w:ilvl w:val="0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 prac Komisji Rekrutacyjnej sporządzany jest protokół. </w:t>
      </w:r>
    </w:p>
    <w:p>
      <w:pPr>
        <w:pStyle w:val="Normal"/>
        <w:numPr>
          <w:ilvl w:val="0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Na podstawie wyników rekrutacji sporządzana jest lista osób zakwalifikowanych oraz, w przypadku większej liczby kandydatów niż dostępnych miejsc, lista rezerwowa. </w:t>
      </w:r>
    </w:p>
    <w:p>
      <w:pPr>
        <w:pStyle w:val="Normal"/>
        <w:numPr>
          <w:ilvl w:val="0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Osoba znajdująca się na liście rezerwowej może zostać zakwalifikowana do udziału w przypadku zwolnienia miejsca lub powstania możliwości objęcia wsparciem kolejnej osoby. </w:t>
      </w:r>
    </w:p>
    <w:p>
      <w:pPr>
        <w:pStyle w:val="Normal"/>
        <w:numPr>
          <w:ilvl w:val="0"/>
          <w:numId w:val="1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Kandydaci są informowani o wyniku rekrutacji w sposób przyjęty przez Realizatora Projektu.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12. Indywidualna diagnoza i Indywidualny Plan Wsparcia</w:t>
      </w:r>
    </w:p>
    <w:p>
      <w:pPr>
        <w:pStyle w:val="Normal"/>
        <w:numPr>
          <w:ilvl w:val="0"/>
          <w:numId w:val="1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Dla osób potrzebujących wsparcia objętych zadaniami 1 i 2 przeprowadzana jest indywidualna diagnoza. </w:t>
      </w:r>
    </w:p>
    <w:p>
      <w:pPr>
        <w:pStyle w:val="Normal"/>
        <w:numPr>
          <w:ilvl w:val="0"/>
          <w:numId w:val="1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Diagnoza obejmuje w szczególności sytuację rodzinną, sytuację problemową lub zagrożenie sytuacją problemową, potencjał, predyspozycje i potrzeby uczestnika. </w:t>
      </w:r>
    </w:p>
    <w:p>
      <w:pPr>
        <w:pStyle w:val="Normal"/>
        <w:numPr>
          <w:ilvl w:val="0"/>
          <w:numId w:val="1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Diagnozę przeprowadzają Kierownik DDP w odniesieniu do zadania 1 oraz Koordynator </w:t>
      </w:r>
      <w:r>
        <w:rPr>
          <w:rFonts w:eastAsia="ＭＳ 明朝" w:cs="" w:ascii="Arial" w:hAnsi="Arial" w:cstheme="minorBidi" w:eastAsiaTheme="minorEastAsia"/>
          <w:color w:val="auto"/>
          <w:kern w:val="0"/>
          <w:sz w:val="24"/>
          <w:szCs w:val="24"/>
          <w:lang w:val="en-US" w:eastAsia="en-US" w:bidi="ar-SA"/>
        </w:rPr>
        <w:t>projektu w odniesieniu do Zadania 2 i 3 -</w:t>
      </w:r>
      <w:r>
        <w:rPr>
          <w:rFonts w:ascii="Arial" w:hAnsi="Arial"/>
          <w:sz w:val="24"/>
          <w:szCs w:val="24"/>
        </w:rPr>
        <w:t xml:space="preserve"> zgodnie z założeniami Projektu. </w:t>
      </w:r>
    </w:p>
    <w:p>
      <w:pPr>
        <w:pStyle w:val="Normal"/>
        <w:numPr>
          <w:ilvl w:val="0"/>
          <w:numId w:val="1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Na podstawie przeprowadzonej diagnozy opracowywany jest dla uczestnika IPW uwzględniający jego indywidualne potrzeby. </w:t>
      </w:r>
    </w:p>
    <w:p>
      <w:pPr>
        <w:pStyle w:val="Normal"/>
        <w:numPr>
          <w:ilvl w:val="0"/>
          <w:numId w:val="1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IPW przygotowywany jest we współpracy z uczestnikiem w sposób umożliwiający mu wpływ i kontrolę nad świadczoną pomocą. </w:t>
      </w:r>
    </w:p>
    <w:p>
      <w:pPr>
        <w:pStyle w:val="Normal"/>
        <w:numPr>
          <w:ilvl w:val="0"/>
          <w:numId w:val="1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 przypadku osoby, która nie jest w stanie świadomie uczestniczyć w podejmowaniu decyzji, w proces opracowania IPW włączany jest – stosownie do sytuacji – jej opiekun prawny lub faktyczny. </w:t>
      </w:r>
    </w:p>
    <w:p>
      <w:pPr>
        <w:pStyle w:val="Normal"/>
        <w:numPr>
          <w:ilvl w:val="0"/>
          <w:numId w:val="1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IPW może podlegać aktualizacji odpowiednio do zmian potrzeb, sytuacji uczestnika oraz przebiegu udzielanego wsparcia.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13. Zasady uczestnictwa w Projekcie</w:t>
      </w:r>
    </w:p>
    <w:p>
      <w:pPr>
        <w:pStyle w:val="Normal"/>
        <w:numPr>
          <w:ilvl w:val="0"/>
          <w:numId w:val="1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Uczestnik zobowiązany jest do: </w:t>
      </w:r>
    </w:p>
    <w:p>
      <w:pPr>
        <w:pStyle w:val="Normal"/>
        <w:numPr>
          <w:ilvl w:val="1"/>
          <w:numId w:val="1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przekazywania danych i dokumentów niezbędnych do realizacji, monitorowania i rozliczania Projektu; </w:t>
      </w:r>
    </w:p>
    <w:p>
      <w:pPr>
        <w:pStyle w:val="Normal"/>
        <w:numPr>
          <w:ilvl w:val="1"/>
          <w:numId w:val="1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potwierdzania korzystania z poszczególnych form wsparcia w sposób określony przez Realizatora; </w:t>
      </w:r>
    </w:p>
    <w:p>
      <w:pPr>
        <w:pStyle w:val="Normal"/>
        <w:numPr>
          <w:ilvl w:val="1"/>
          <w:numId w:val="1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współpracy z personelem Projektu w zakresie niezbędnym do realizacji zaplanowanego wsparcia; </w:t>
      </w:r>
    </w:p>
    <w:p>
      <w:pPr>
        <w:pStyle w:val="Normal"/>
        <w:numPr>
          <w:ilvl w:val="1"/>
          <w:numId w:val="1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informowania o zmianach danych oraz okolicznościach mogących mieć wpływ na możliwość dalszego udziału w Projekcie; </w:t>
      </w:r>
    </w:p>
    <w:p>
      <w:pPr>
        <w:pStyle w:val="Normal"/>
        <w:numPr>
          <w:ilvl w:val="1"/>
          <w:numId w:val="1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przestrzegania niniejszego Regulaminu oraz zasad organizacyjnych właściwych dla formy wsparcia, z której korzysta. </w:t>
      </w:r>
    </w:p>
    <w:p>
      <w:pPr>
        <w:pStyle w:val="Normal"/>
        <w:numPr>
          <w:ilvl w:val="0"/>
          <w:numId w:val="1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Uczestnik ma prawo do: </w:t>
      </w:r>
    </w:p>
    <w:p>
      <w:pPr>
        <w:pStyle w:val="Normal"/>
        <w:numPr>
          <w:ilvl w:val="1"/>
          <w:numId w:val="1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korzystania z przyznanych mu form wsparcia; </w:t>
      </w:r>
    </w:p>
    <w:p>
      <w:pPr>
        <w:pStyle w:val="Normal"/>
        <w:numPr>
          <w:ilvl w:val="1"/>
          <w:numId w:val="1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uzyskania informacji dotyczących zasad uczestnictwa; </w:t>
      </w:r>
    </w:p>
    <w:p>
      <w:pPr>
        <w:pStyle w:val="Normal"/>
        <w:numPr>
          <w:ilvl w:val="1"/>
          <w:numId w:val="1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poszanowania godności, prywatności i indywidualnych potrzeb; </w:t>
      </w:r>
    </w:p>
    <w:p>
      <w:pPr>
        <w:pStyle w:val="Normal"/>
        <w:numPr>
          <w:ilvl w:val="1"/>
          <w:numId w:val="1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równego i niedyskryminującego traktowania; </w:t>
      </w:r>
    </w:p>
    <w:p>
      <w:pPr>
        <w:pStyle w:val="Normal"/>
        <w:numPr>
          <w:ilvl w:val="1"/>
          <w:numId w:val="1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zgłaszania potrzeb związanych z dostępnością; </w:t>
      </w:r>
    </w:p>
    <w:p>
      <w:pPr>
        <w:pStyle w:val="Normal"/>
        <w:numPr>
          <w:ilvl w:val="1"/>
          <w:numId w:val="1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uczestniczenia w opracowywaniu i aktualizacji IPW – jeżeli dotyczy. </w:t>
      </w:r>
    </w:p>
    <w:p>
      <w:pPr>
        <w:pStyle w:val="Normal"/>
        <w:numPr>
          <w:ilvl w:val="0"/>
          <w:numId w:val="19"/>
        </w:numPr>
        <w:rPr/>
      </w:pPr>
      <w:r>
        <w:rPr>
          <w:rFonts w:ascii="Arial" w:hAnsi="Arial"/>
          <w:sz w:val="24"/>
          <w:szCs w:val="24"/>
        </w:rPr>
        <w:t xml:space="preserve">Zgodnie z założeniami Projektu okres korzystania przez uczestnika ze wsparcia przewidzianego we wniosku dla danej osoby wynosi maksymalnie </w:t>
      </w:r>
      <w:r>
        <w:rPr>
          <w:rStyle w:val="Mocnewyrnione"/>
          <w:rFonts w:ascii="Arial" w:hAnsi="Arial"/>
          <w:b w:val="false"/>
          <w:bCs w:val="false"/>
          <w:sz w:val="24"/>
          <w:szCs w:val="24"/>
        </w:rPr>
        <w:t>12 miesięcy</w:t>
      </w:r>
      <w:r>
        <w:rPr>
          <w:rFonts w:ascii="Arial" w:hAnsi="Arial"/>
          <w:b w:val="false"/>
          <w:bCs w:val="false"/>
          <w:sz w:val="24"/>
          <w:szCs w:val="24"/>
        </w:rPr>
        <w:t>, z</w:t>
      </w:r>
      <w:r>
        <w:rPr>
          <w:rFonts w:ascii="Arial" w:hAnsi="Arial"/>
          <w:sz w:val="24"/>
          <w:szCs w:val="24"/>
        </w:rPr>
        <w:t xml:space="preserve"> uwzględnieniem specyfiki poszczególnych form wsparcia.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14. Rezygnacja i zakończenie udziału</w:t>
      </w:r>
    </w:p>
    <w:p>
      <w:pPr>
        <w:pStyle w:val="Normal"/>
        <w:numPr>
          <w:ilvl w:val="0"/>
          <w:numId w:val="20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Uczestnik może zrezygnować z udziału, składając informację Realizatorowi; przyczyna rezygnacji powinna zostać udokumentowana w zakresie możliwym i adekwatnym.</w:t>
      </w:r>
    </w:p>
    <w:p>
      <w:pPr>
        <w:pStyle w:val="Normal"/>
        <w:numPr>
          <w:ilvl w:val="0"/>
          <w:numId w:val="20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Realizator może zakończyć udział osoby, jeżeli przestanie ona spełniać warunki udziału, narusza zasady uczestnictwa w sposób uniemożliwiający świadczenie wsparcia albo wystąpią inne obiektywne przesłanki wynikające z dokumentacji projektu.</w:t>
      </w:r>
    </w:p>
    <w:p>
      <w:pPr>
        <w:pStyle w:val="Normal"/>
        <w:numPr>
          <w:ilvl w:val="0"/>
          <w:numId w:val="20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 przypadku zwolnienia miejsca Realizator może zakwalifikować osobę z listy rezerwowej zgodnie z zasadami rekrutacji właściwymi dla danego zadania.</w:t>
      </w:r>
    </w:p>
    <w:p>
      <w:pPr>
        <w:pStyle w:val="Normal"/>
        <w:numPr>
          <w:ilvl w:val="0"/>
          <w:numId w:val="20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Zakończenie lub przerwanie udziału jest odnotowywane w dokumentacji projektu i systemach monitorowania, jeżeli jest to wymagane.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15. Dostępność i równe traktowanie</w:t>
      </w:r>
    </w:p>
    <w:p>
      <w:pPr>
        <w:pStyle w:val="Normal"/>
        <w:numPr>
          <w:ilvl w:val="0"/>
          <w:numId w:val="2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Projekt realizowany jest zgodnie z zasadą równości szans kobiet i mężczyzn oraz zasadą równości szans i niedyskryminacji, w tym dostępności dla osób z niepełnosprawnościami. </w:t>
      </w:r>
    </w:p>
    <w:p>
      <w:pPr>
        <w:pStyle w:val="Normal"/>
        <w:numPr>
          <w:ilvl w:val="0"/>
          <w:numId w:val="2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Siedziba GOPS oraz miejsce świadczenia stacjonarnych usług w DDP mają być dostępne dla osób z niepełnosprawnościami. </w:t>
      </w:r>
    </w:p>
    <w:p>
      <w:pPr>
        <w:pStyle w:val="Normal"/>
        <w:numPr>
          <w:ilvl w:val="0"/>
          <w:numId w:val="2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Informacje dotyczące Projektu przekazywane są z uwzględnieniem potrzeb osób ze szczególnymi potrzebami. </w:t>
      </w:r>
    </w:p>
    <w:p>
      <w:pPr>
        <w:pStyle w:val="Normal"/>
        <w:numPr>
          <w:ilvl w:val="0"/>
          <w:numId w:val="2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 przypadku wystąpienia specyficznych potrzeb uczestnika mogą być zapewniane odpowiednie rozwiązania wspierające dostępność, zgodnie z zasadami i możliwościami Projektu. </w:t>
      </w:r>
    </w:p>
    <w:p>
      <w:pPr>
        <w:pStyle w:val="Normal"/>
        <w:numPr>
          <w:ilvl w:val="0"/>
          <w:numId w:val="2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Zatwierdzony wniosek przewiduje m.in., w przypadku specyficznych potrzeb, możliwość zapewnienia takich usług jak tłumacz języka migowego lub opieka asystenta.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</w:t>
      </w:r>
      <w:r>
        <w:rPr>
          <w:rFonts w:eastAsia="ＭＳ ゴシック" w:cs="" w:ascii="Arial" w:hAnsi="Arial" w:cstheme="majorBidi" w:eastAsiaTheme="majorEastAsia"/>
          <w:b/>
          <w:bCs/>
          <w:color w:val="auto"/>
          <w:kern w:val="0"/>
          <w:sz w:val="24"/>
          <w:szCs w:val="24"/>
          <w:lang w:val="en-US" w:eastAsia="en-US" w:bidi="ar-SA"/>
        </w:rPr>
        <w:t>6</w:t>
      </w:r>
      <w:r>
        <w:rPr>
          <w:rFonts w:ascii="Arial" w:hAnsi="Arial"/>
          <w:sz w:val="24"/>
          <w:szCs w:val="24"/>
        </w:rPr>
        <w:t>. Monitoring i dokumentowanie udziału</w:t>
      </w:r>
    </w:p>
    <w:p>
      <w:pPr>
        <w:pStyle w:val="Normal"/>
        <w:numPr>
          <w:ilvl w:val="0"/>
          <w:numId w:val="2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Realizator prowadzi dokumentację dotyczącą rekrutacji, kwalifikacji, udzielonego wsparcia i udziału uczestników w Projekcie. </w:t>
      </w:r>
    </w:p>
    <w:p>
      <w:pPr>
        <w:pStyle w:val="Normal"/>
        <w:numPr>
          <w:ilvl w:val="0"/>
          <w:numId w:val="2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Uczestnicy są zobowiązani do przekazywania informacji i dokumentów niezbędnych do monitorowania realizacji Projektu oraz osiągnięcia jego wskaźników. </w:t>
      </w:r>
    </w:p>
    <w:p>
      <w:pPr>
        <w:pStyle w:val="Normal"/>
        <w:numPr>
          <w:ilvl w:val="0"/>
          <w:numId w:val="2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Dokumentacja uczestnika może obejmować w szczególności dokumentację rekrutacyjną, wyniki oceny formalnej i merytorycznej, dokumentację diagnostyczną, IPW, dokumenty potwierdzające udzielenie wsparcia oraz dokumenty dotyczące zakończenia udziału. </w:t>
      </w:r>
    </w:p>
    <w:p>
      <w:pPr>
        <w:pStyle w:val="Normal"/>
        <w:numPr>
          <w:ilvl w:val="0"/>
          <w:numId w:val="2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Dane uczestników są przetwarzane zgodnie z obowiązującymi przepisami dotyczącymi ochrony danych osobowych oraz zasadami programu Fundusze Europejskie dla Świętokrzyskiego 2021–2027.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</w:t>
      </w:r>
      <w:r>
        <w:rPr>
          <w:rFonts w:eastAsia="ＭＳ ゴシック" w:cs="" w:ascii="Arial" w:hAnsi="Arial" w:cstheme="majorBidi" w:eastAsiaTheme="majorEastAsia"/>
          <w:b/>
          <w:bCs/>
          <w:color w:val="auto"/>
          <w:kern w:val="0"/>
          <w:sz w:val="24"/>
          <w:szCs w:val="24"/>
          <w:lang w:val="en-US" w:eastAsia="en-US" w:bidi="ar-SA"/>
        </w:rPr>
        <w:t>7</w:t>
      </w:r>
      <w:r>
        <w:rPr>
          <w:rFonts w:ascii="Arial" w:hAnsi="Arial"/>
          <w:sz w:val="24"/>
          <w:szCs w:val="24"/>
        </w:rPr>
        <w:t>. Postanowienia końcowe</w:t>
      </w:r>
    </w:p>
    <w:p>
      <w:pPr>
        <w:pStyle w:val="Normal"/>
        <w:numPr>
          <w:ilvl w:val="0"/>
          <w:numId w:val="2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Regulamin obowiązuje od dnia jego zatwierdzenia. </w:t>
      </w:r>
    </w:p>
    <w:p>
      <w:pPr>
        <w:pStyle w:val="Normal"/>
        <w:numPr>
          <w:ilvl w:val="0"/>
          <w:numId w:val="2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Realizator Projektu zastrzega możliwość wprowadzania zmian do Regulaminu, w szczególności jeżeli są one konieczne ze względu na zmianę dokumentacji Projektu, warunków jego realizacji, zaleceń lub wymagań Instytucji Zarządzającej albo konieczność zapewnienia zgodności realizacji Projektu z obowiązującymi przepisami. </w:t>
      </w:r>
    </w:p>
    <w:p>
      <w:pPr>
        <w:pStyle w:val="Normal"/>
        <w:numPr>
          <w:ilvl w:val="0"/>
          <w:numId w:val="2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Zmiany Regulaminu nie mogą prowadzić do naruszenia zasad równego traktowania kandydatów i uczestników ani do zastosowania wobec osób uczestniczących w tym samym procesie rekrutacyjnym różnych zasad kwalifikacji. </w:t>
      </w:r>
    </w:p>
    <w:p>
      <w:pPr>
        <w:pStyle w:val="Normal"/>
        <w:numPr>
          <w:ilvl w:val="0"/>
          <w:numId w:val="2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 sprawach nieuregulowanych Regulaminem zastosowanie mają postanowienia zatwierdzonego wniosku o dofinansowanie, umowy o dofinansowanie Projektu oraz właściwe dokumenty i przepisy dotyczące realizacji programu Fundusze Europejskie dla Świętokrzyskiego 2021–2027. </w:t>
      </w:r>
    </w:p>
    <w:p>
      <w:pPr>
        <w:pStyle w:val="Normal"/>
        <w:numPr>
          <w:ilvl w:val="0"/>
          <w:numId w:val="2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Regulamin podaje się do wiadomości kandydatów i uczestników Projektu w sposób przyjęty przez Realizatora.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ZAŁĄCZNIK INFORMACYJNY – harmonogram rekrutacji wynikający z wniosku</w:t>
      </w:r>
    </w:p>
    <w:tbl>
      <w:tblPr>
        <w:tblStyle w:val="TableGrid"/>
        <w:tblW w:w="997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69"/>
        <w:gridCol w:w="5603"/>
      </w:tblGrid>
      <w:tr>
        <w:trPr/>
        <w:tc>
          <w:tcPr>
            <w:tcW w:w="4369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Zakres</w:t>
            </w:r>
          </w:p>
        </w:tc>
        <w:tc>
          <w:tcPr>
            <w:tcW w:w="5603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Termin</w:t>
            </w:r>
          </w:p>
        </w:tc>
      </w:tr>
      <w:tr>
        <w:trPr/>
        <w:tc>
          <w:tcPr>
            <w:tcW w:w="4369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Zadanie 1 – DDP, I tura</w:t>
            </w:r>
          </w:p>
        </w:tc>
        <w:tc>
          <w:tcPr>
            <w:tcW w:w="5603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01.06–30.06.2027</w:t>
            </w:r>
          </w:p>
        </w:tc>
      </w:tr>
      <w:tr>
        <w:trPr/>
        <w:tc>
          <w:tcPr>
            <w:tcW w:w="4369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Zadanie 1 – DDP, II tura</w:t>
            </w:r>
          </w:p>
        </w:tc>
        <w:tc>
          <w:tcPr>
            <w:tcW w:w="5603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01.06–30.06.2028</w:t>
            </w:r>
          </w:p>
        </w:tc>
      </w:tr>
      <w:tr>
        <w:trPr/>
        <w:tc>
          <w:tcPr>
            <w:tcW w:w="4369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Zadanie 2 – I tura</w:t>
            </w:r>
          </w:p>
        </w:tc>
        <w:tc>
          <w:tcPr>
            <w:tcW w:w="5603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01.09–14.09.2026</w:t>
            </w:r>
          </w:p>
        </w:tc>
      </w:tr>
      <w:tr>
        <w:trPr/>
        <w:tc>
          <w:tcPr>
            <w:tcW w:w="4369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Zadanie 2 – II tura</w:t>
            </w:r>
          </w:p>
        </w:tc>
        <w:tc>
          <w:tcPr>
            <w:tcW w:w="5603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01.09–14.09.2027</w:t>
            </w:r>
          </w:p>
        </w:tc>
      </w:tr>
      <w:tr>
        <w:trPr/>
        <w:tc>
          <w:tcPr>
            <w:tcW w:w="4369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Zadanie 2 – III tura</w:t>
            </w:r>
          </w:p>
        </w:tc>
        <w:tc>
          <w:tcPr>
            <w:tcW w:w="5603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01.09–14.09.2028</w:t>
            </w:r>
          </w:p>
        </w:tc>
      </w:tr>
      <w:tr>
        <w:trPr/>
        <w:tc>
          <w:tcPr>
            <w:tcW w:w="4369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Rekrutacja uzupełniająca</w:t>
            </w:r>
          </w:p>
        </w:tc>
        <w:tc>
          <w:tcPr>
            <w:tcW w:w="5603" w:type="dxa"/>
            <w:tcBorders/>
            <w:vAlign w:val="center"/>
          </w:tcPr>
          <w:p>
            <w:pPr>
              <w:pStyle w:val="Normal"/>
              <w:widowControl w:val="false"/>
              <w:spacing w:before="0" w:after="10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 okresie realizacji projektu – w razie potrzeby</w:t>
            </w:r>
          </w:p>
        </w:tc>
      </w:tr>
    </w:tbl>
    <w:p>
      <w:pPr>
        <w:pStyle w:val="Normal"/>
        <w:spacing w:before="0" w:after="100"/>
        <w:rPr>
          <w:rFonts w:ascii="Arial" w:hAnsi="Arial"/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2240" w:h="15840"/>
      <w:pgMar w:left="1247" w:right="1020" w:header="397" w:top="1247" w:footer="454" w:bottom="10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Open San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>
        <w:rFonts w:ascii="Arial" w:hAnsi="Arial"/>
        <w:b w:val="false"/>
        <w:bCs w:val="false"/>
        <w:sz w:val="18"/>
        <w:szCs w:val="18"/>
      </w:rPr>
      <w:t xml:space="preserve">Regulamin rekrutacji i uczestnictwa w projekcie </w:t>
    </w:r>
    <w:r>
      <w:rPr>
        <w:rStyle w:val="Mocnewyrnione"/>
        <w:rFonts w:ascii="Arial" w:hAnsi="Arial"/>
        <w:b w:val="false"/>
        <w:bCs w:val="false"/>
        <w:sz w:val="18"/>
        <w:szCs w:val="18"/>
      </w:rPr>
      <w:t>„Holistyczne wsparcie mieszkańców Gminy Pawłów w środowisku lokalnym”</w:t>
    </w:r>
    <w:r>
      <w:rPr>
        <w:rFonts w:ascii="Arial" w:hAnsi="Arial"/>
        <w:b w:val="false"/>
        <w:bCs w:val="false"/>
        <w:sz w:val="18"/>
        <w:szCs w:val="18"/>
      </w:rPr>
      <w:br/>
      <w:t xml:space="preserve">nr FESW.09.04-IZ.00-0007/26  |  </w:t>
    </w:r>
    <w:r>
      <w:rPr>
        <w:rFonts w:ascii="Arial" w:hAnsi="Arial"/>
        <w:b w:val="false"/>
        <w:bCs w:val="false"/>
        <w:sz w:val="18"/>
        <w:szCs w:val="18"/>
      </w:rPr>
      <w:fldChar w:fldCharType="begin"/>
    </w:r>
    <w:r>
      <w:rPr>
        <w:sz w:val="18"/>
        <w:b w:val="false"/>
        <w:szCs w:val="18"/>
        <w:bCs w:val="false"/>
        <w:rFonts w:ascii="Arial" w:hAnsi="Arial"/>
      </w:rPr>
      <w:instrText> PAGE </w:instrText>
    </w:r>
    <w:r>
      <w:rPr>
        <w:sz w:val="18"/>
        <w:b w:val="false"/>
        <w:szCs w:val="18"/>
        <w:bCs w:val="false"/>
        <w:rFonts w:ascii="Arial" w:hAnsi="Arial"/>
      </w:rPr>
      <w:fldChar w:fldCharType="separate"/>
    </w:r>
    <w:r>
      <w:rPr>
        <w:sz w:val="18"/>
        <w:b w:val="false"/>
        <w:szCs w:val="18"/>
        <w:bCs w:val="false"/>
        <w:rFonts w:ascii="Arial" w:hAnsi="Arial"/>
      </w:rPr>
      <w:t>10</w:t>
    </w:r>
    <w:r>
      <w:rPr>
        <w:sz w:val="18"/>
        <w:b w:val="false"/>
        <w:szCs w:val="18"/>
        <w:bCs w:val="false"/>
        <w:rFonts w:ascii="Arial" w:hAnsi="Arial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/>
      <w:drawing>
        <wp:anchor behindDoc="1" distT="0" distB="0" distL="0" distR="0" simplePos="0" locked="0" layoutInCell="0" allowOverlap="1" relativeHeight="11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6272530" cy="457835"/>
          <wp:effectExtent l="0" t="0" r="0" b="0"/>
          <wp:wrapSquare wrapText="largest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72530" cy="457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lowerLetter"/>
      <w:lvlText w:val="%2)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lowerLetter"/>
      <w:lvlText w:val="%2)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lowerLetter"/>
      <w:lvlText w:val="%2)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lowerLetter"/>
      <w:lvlText w:val="%2)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lowerLetter"/>
      <w:lvlText w:val="%2)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lowerLetter"/>
      <w:lvlText w:val="%2)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lowerLetter"/>
      <w:lvlText w:val="%2)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lowerLetter"/>
      <w:lvlText w:val="%2)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lowerLetter"/>
      <w:lvlText w:val="%2)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100"/>
      <w:jc w:val="left"/>
    </w:pPr>
    <w:rPr>
      <w:rFonts w:ascii="Open Sans" w:hAnsi="Open Sans" w:eastAsia="ＭＳ 明朝" w:cs="" w:cstheme="minorBidi" w:eastAsiaTheme="minorEastAsia"/>
      <w:color w:val="auto"/>
      <w:kern w:val="0"/>
      <w:sz w:val="22"/>
      <w:szCs w:val="22"/>
      <w:lang w:val="en-US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200" w:after="10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sz w:val="26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140" w:after="6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sz w:val="23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Wyróżnienie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Znakinumeracji">
    <w:name w:val="Znaki numeracji"/>
    <w:qFormat/>
    <w:rPr/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1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spacing w:val="5"/>
      <w:kern w:val="2"/>
      <w:sz w:val="3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10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1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1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1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1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1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1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Nagwek1"/>
    <w:next w:val="Normal"/>
    <w:uiPriority w:val="39"/>
    <w:semiHidden/>
    <w:unhideWhenUsed/>
    <w:qFormat/>
    <w:rsid w:val="00fc693f"/>
    <w:pPr/>
    <w:rPr/>
  </w:style>
  <w:style w:type="paragraph" w:styleId="Uwaga" w:customStyle="1">
    <w:name w:val="Uwaga"/>
    <w:qFormat/>
    <w:pPr>
      <w:widowControl/>
      <w:suppressAutoHyphens w:val="true"/>
      <w:bidi w:val="0"/>
      <w:spacing w:lineRule="auto" w:line="276" w:before="120" w:after="120"/>
      <w:jc w:val="left"/>
    </w:pPr>
    <w:rPr>
      <w:rFonts w:ascii="Open Sans" w:hAnsi="Open Sans" w:eastAsia="ＭＳ 明朝" w:cs="" w:cstheme="minorBidi" w:eastAsiaTheme="minorEastAsia"/>
      <w:b/>
      <w:color w:val="auto"/>
      <w:kern w:val="0"/>
      <w:sz w:val="20"/>
      <w:szCs w:val="22"/>
      <w:lang w:val="en-US" w:eastAsia="en-US" w:bidi="ar-SA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Punktor">
    <w:name w:val="Punktor •"/>
    <w:qFormat/>
  </w:style>
  <w:style w:type="numbering" w:styleId="Numeracja123">
    <w:name w:val="Numeracja 123"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Application>LibreOffice/7.0.3.1$Windows_X86_64 LibreOffice_project/d7547858d014d4cf69878db179d326fc3483e082</Application>
  <Pages>10</Pages>
  <Words>2477</Words>
  <Characters>16271</Characters>
  <CharactersWithSpaces>18578</CharactersWithSpaces>
  <Paragraphs>199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Gmina Pawłów / GOPS w Pawłowie</dc:creator>
  <dc:description>generated by python-docx</dc:description>
  <dc:language>pl-PL</dc:language>
  <cp:lastModifiedBy/>
  <dcterms:modified xsi:type="dcterms:W3CDTF">2026-09-28T13:08:13Z</dcterms:modified>
  <cp:revision>10</cp:revision>
  <dc:subject>Projekt Holistyczne wsparcie mieszkańców Gminy Pawłów w środowisku lokalnym</dc:subject>
  <dc:title>Regulamin rekrutacji i uczestnictwa – FESW.09.04-IZ.00-0007/26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